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1A47" w14:textId="713BD46D" w:rsidR="00D0706C" w:rsidRPr="006C6124" w:rsidRDefault="00D0706C" w:rsidP="00D0706C">
      <w:pPr>
        <w:spacing w:after="5" w:line="250" w:lineRule="auto"/>
        <w:ind w:right="51"/>
        <w:rPr>
          <w:rFonts w:ascii="Calibri" w:eastAsia="Cambria" w:hAnsi="Calibri" w:cs="Calibri"/>
          <w:color w:val="000000"/>
        </w:rPr>
      </w:pPr>
      <w:r w:rsidRPr="006C6124">
        <w:rPr>
          <w:rFonts w:ascii="Calibri" w:eastAsia="Cambria" w:hAnsi="Calibri" w:cs="Calibri"/>
          <w:b/>
          <w:color w:val="000000"/>
        </w:rPr>
        <w:t>VOCATIONAL REHABILITATION – MN STATE SERVICES FOR THE BLIND</w:t>
      </w:r>
      <w:r w:rsidR="00103BDF" w:rsidRPr="006C6124">
        <w:rPr>
          <w:rFonts w:ascii="Calibri" w:eastAsia="Cambria" w:hAnsi="Calibri" w:cs="Calibri"/>
          <w:b/>
          <w:color w:val="000000"/>
        </w:rPr>
        <w:t xml:space="preserve"> 2024</w:t>
      </w:r>
    </w:p>
    <w:p w14:paraId="77B5CAEA" w14:textId="77777777" w:rsidR="00D0706C" w:rsidRPr="006C6124" w:rsidRDefault="00D0706C" w:rsidP="00D0706C">
      <w:pPr>
        <w:keepNext/>
        <w:keepLines/>
        <w:spacing w:after="11" w:line="249" w:lineRule="auto"/>
        <w:ind w:left="11" w:hanging="10"/>
        <w:outlineLvl w:val="1"/>
        <w:rPr>
          <w:rFonts w:ascii="Calibri" w:eastAsia="Cambria" w:hAnsi="Calibri" w:cs="Calibri"/>
          <w:b/>
          <w:color w:val="000000"/>
        </w:rPr>
      </w:pPr>
    </w:p>
    <w:p w14:paraId="14366AE5" w14:textId="77777777" w:rsidR="00D0706C" w:rsidRPr="006C6124" w:rsidRDefault="00D0706C" w:rsidP="00D0706C">
      <w:pPr>
        <w:keepNext/>
        <w:keepLines/>
        <w:spacing w:after="11" w:line="249" w:lineRule="auto"/>
        <w:ind w:left="11" w:hanging="10"/>
        <w:outlineLvl w:val="1"/>
        <w:rPr>
          <w:rFonts w:ascii="Calibri" w:eastAsia="Cambria" w:hAnsi="Calibri" w:cs="Calibri"/>
          <w:bCs/>
          <w:color w:val="000000"/>
        </w:rPr>
      </w:pPr>
      <w:bookmarkStart w:id="0" w:name="_Toc2"/>
      <w:r w:rsidRPr="006C6124">
        <w:rPr>
          <w:rFonts w:ascii="Calibri" w:eastAsia="Cambria" w:hAnsi="Calibri" w:cs="Calibri"/>
          <w:b/>
          <w:bCs/>
          <w:color w:val="000000"/>
        </w:rPr>
        <w:t xml:space="preserve">Program-Specific Requirements for State Vocational Rehabilitation Services Program </w:t>
      </w:r>
      <w:bookmarkEnd w:id="0"/>
    </w:p>
    <w:p w14:paraId="06AF9EA6" w14:textId="77777777" w:rsidR="00D0706C" w:rsidRPr="006C6124" w:rsidRDefault="00D0706C" w:rsidP="00D0706C">
      <w:pPr>
        <w:spacing w:after="5" w:line="250" w:lineRule="auto"/>
        <w:ind w:left="10" w:right="51" w:hanging="10"/>
        <w:rPr>
          <w:rFonts w:ascii="Calibri" w:eastAsia="Cambria" w:hAnsi="Calibri" w:cs="Calibri"/>
          <w:color w:val="000000"/>
        </w:rPr>
      </w:pPr>
      <w:r w:rsidRPr="006C6124">
        <w:rPr>
          <w:rFonts w:ascii="Calibri" w:eastAsia="Cambria" w:hAnsi="Calibri" w:cs="Calibri"/>
          <w:color w:val="000000"/>
        </w:rPr>
        <w:t>The Vocational Rehabilitation (VR) Services Portion of the Unified or Combined State Plan must include the following descriptions and estimates, as required by sections 101(a) and 606 of the Rehabilitation Act of 1973, as amended by title IV of WIOA.</w:t>
      </w:r>
    </w:p>
    <w:p w14:paraId="1A65F669" w14:textId="77777777" w:rsidR="00D0706C" w:rsidRPr="006C6124" w:rsidRDefault="00D0706C" w:rsidP="00D0706C">
      <w:pPr>
        <w:tabs>
          <w:tab w:val="left" w:leader="dot" w:pos="360"/>
        </w:tabs>
        <w:spacing w:after="5" w:line="250" w:lineRule="auto"/>
        <w:ind w:left="10" w:right="51" w:hanging="10"/>
        <w:outlineLvl w:val="0"/>
        <w:rPr>
          <w:rFonts w:ascii="Calibri" w:eastAsia="Cambria" w:hAnsi="Calibri" w:cs="Calibri"/>
          <w:b/>
          <w:color w:val="000000"/>
          <w:u w:val="single"/>
        </w:rPr>
      </w:pPr>
    </w:p>
    <w:p w14:paraId="1CA56048" w14:textId="36C38450" w:rsidR="00B048FD" w:rsidRDefault="00D0706C" w:rsidP="00D0706C">
      <w:pPr>
        <w:tabs>
          <w:tab w:val="left" w:leader="dot" w:pos="360"/>
        </w:tabs>
        <w:spacing w:after="5" w:line="250" w:lineRule="auto"/>
        <w:ind w:left="10" w:right="51" w:hanging="10"/>
        <w:outlineLvl w:val="0"/>
        <w:rPr>
          <w:rFonts w:ascii="Calibri" w:eastAsia="Cambria" w:hAnsi="Calibri" w:cs="Calibri"/>
          <w:color w:val="000000"/>
        </w:rPr>
      </w:pPr>
      <w:r w:rsidRPr="006C6124">
        <w:rPr>
          <w:rFonts w:ascii="Calibri" w:eastAsia="Cambria" w:hAnsi="Calibri" w:cs="Calibri"/>
          <w:b/>
          <w:color w:val="000000"/>
          <w:u w:val="single"/>
        </w:rPr>
        <w:t>(a) State Rehabilitation Council</w:t>
      </w:r>
      <w:r w:rsidRPr="006C6124">
        <w:rPr>
          <w:rFonts w:ascii="Calibri" w:eastAsia="Cambria" w:hAnsi="Calibri" w:cs="Calibri"/>
          <w:color w:val="000000"/>
        </w:rPr>
        <w:t>. All VR agencies, except for those that have an independent consumer-controlled commission, must have a State Rehabilitation Council (Council or SRC) that meets the criteria in section 105 of the Rehabilitation Act. The designated State agency or designated State unit, as applicable, has</w:t>
      </w:r>
      <w:r w:rsidR="00B048FD">
        <w:rPr>
          <w:rFonts w:ascii="Calibri" w:eastAsia="Cambria" w:hAnsi="Calibri" w:cs="Calibri"/>
          <w:color w:val="000000"/>
        </w:rPr>
        <w:t xml:space="preserve"> established </w:t>
      </w:r>
      <w:r w:rsidR="000248B5">
        <w:rPr>
          <w:rFonts w:ascii="Calibri" w:eastAsia="Cambria" w:hAnsi="Calibri" w:cs="Calibri"/>
          <w:color w:val="000000"/>
        </w:rPr>
        <w:t xml:space="preserve">a State Rehabilitation Council for the Blind. </w:t>
      </w:r>
      <w:r w:rsidRPr="006C6124">
        <w:rPr>
          <w:rFonts w:ascii="Calibri" w:eastAsia="Cambria" w:hAnsi="Calibri" w:cs="Calibri"/>
          <w:color w:val="000000"/>
        </w:rPr>
        <w:t xml:space="preserve"> </w:t>
      </w:r>
    </w:p>
    <w:p w14:paraId="54AAE526" w14:textId="5F7167BB" w:rsidR="00D0706C" w:rsidRPr="006C6124" w:rsidRDefault="00D0706C" w:rsidP="00D0706C">
      <w:pPr>
        <w:tabs>
          <w:tab w:val="left" w:leader="dot" w:pos="360"/>
        </w:tabs>
        <w:spacing w:after="5" w:line="250" w:lineRule="auto"/>
        <w:ind w:left="10" w:right="51" w:hanging="10"/>
        <w:outlineLvl w:val="0"/>
        <w:rPr>
          <w:rFonts w:ascii="Calibri" w:eastAsia="Cambria" w:hAnsi="Calibri" w:cs="Calibri"/>
          <w:color w:val="000000"/>
        </w:rPr>
      </w:pPr>
      <w:r w:rsidRPr="006C6124">
        <w:rPr>
          <w:rFonts w:ascii="Calibri" w:eastAsia="Cambria" w:hAnsi="Calibri" w:cs="Calibri"/>
          <w:color w:val="000000"/>
        </w:rPr>
        <w:t xml:space="preserve">(select A or B):  </w:t>
      </w:r>
    </w:p>
    <w:p w14:paraId="3B25B5D3" w14:textId="23769FCE" w:rsidR="00D0706C" w:rsidRPr="006C6124" w:rsidRDefault="00D0706C" w:rsidP="00D0706C">
      <w:pPr>
        <w:tabs>
          <w:tab w:val="left" w:leader="dot" w:pos="360"/>
        </w:tabs>
        <w:spacing w:after="5" w:line="250" w:lineRule="auto"/>
        <w:ind w:left="10" w:right="51" w:hanging="10"/>
        <w:outlineLvl w:val="0"/>
        <w:rPr>
          <w:rFonts w:ascii="Calibri" w:eastAsia="Cambria" w:hAnsi="Calibri" w:cs="Calibri"/>
          <w:color w:val="000000"/>
        </w:rPr>
      </w:pPr>
      <w:r w:rsidRPr="006C6124">
        <w:rPr>
          <w:rFonts w:ascii="Calibri" w:eastAsia="Cambria" w:hAnsi="Calibri" w:cs="Calibri"/>
          <w:color w:val="000000"/>
        </w:rPr>
        <w:t>[</w:t>
      </w:r>
      <w:r w:rsidR="00C62D8C" w:rsidRPr="006C6124">
        <w:rPr>
          <w:rFonts w:ascii="Calibri" w:eastAsia="Cambria" w:hAnsi="Calibri" w:cs="Calibri"/>
          <w:color w:val="000000"/>
        </w:rPr>
        <w:t xml:space="preserve">   ]</w:t>
      </w:r>
      <w:r w:rsidRPr="006C6124">
        <w:rPr>
          <w:rFonts w:ascii="Calibri" w:eastAsia="Cambria" w:hAnsi="Calibri" w:cs="Calibri"/>
          <w:color w:val="000000"/>
        </w:rPr>
        <w:t xml:space="preserve"> (A) is an independent State commission.</w:t>
      </w:r>
    </w:p>
    <w:p w14:paraId="30BD4362" w14:textId="550CD0C5" w:rsidR="00D0706C" w:rsidRPr="006C6124" w:rsidRDefault="00D0706C" w:rsidP="00D0706C">
      <w:pPr>
        <w:tabs>
          <w:tab w:val="left" w:leader="dot" w:pos="360"/>
        </w:tabs>
        <w:spacing w:after="5" w:line="250" w:lineRule="auto"/>
        <w:ind w:left="10" w:right="51" w:hanging="10"/>
        <w:outlineLvl w:val="0"/>
        <w:rPr>
          <w:rFonts w:ascii="Calibri" w:eastAsia="Cambria" w:hAnsi="Calibri" w:cs="Calibri"/>
          <w:color w:val="000000"/>
        </w:rPr>
      </w:pPr>
      <w:r w:rsidRPr="006C6124">
        <w:rPr>
          <w:rFonts w:ascii="Calibri" w:eastAsia="Cambria" w:hAnsi="Calibri" w:cs="Calibri"/>
          <w:color w:val="000000"/>
        </w:rPr>
        <w:t>[</w:t>
      </w:r>
      <w:r w:rsidR="00A81B95" w:rsidRPr="006C6124">
        <w:rPr>
          <w:rFonts w:ascii="Calibri" w:eastAsia="Cambria" w:hAnsi="Calibri" w:cs="Calibri"/>
          <w:color w:val="000000"/>
        </w:rPr>
        <w:t>X</w:t>
      </w:r>
      <w:r w:rsidRPr="006C6124">
        <w:rPr>
          <w:rFonts w:ascii="Calibri" w:eastAsia="Cambria" w:hAnsi="Calibri" w:cs="Calibri"/>
          <w:color w:val="000000"/>
        </w:rPr>
        <w:t>] (B) has established a State Rehabilitation Council.</w:t>
      </w:r>
    </w:p>
    <w:p w14:paraId="67CED75F" w14:textId="77777777" w:rsidR="00D0706C" w:rsidRPr="006C6124" w:rsidRDefault="00D0706C" w:rsidP="00D0706C">
      <w:pPr>
        <w:tabs>
          <w:tab w:val="left" w:leader="dot" w:pos="360"/>
        </w:tabs>
        <w:spacing w:after="5" w:line="250" w:lineRule="auto"/>
        <w:ind w:left="10" w:right="51" w:hanging="10"/>
        <w:outlineLvl w:val="0"/>
        <w:rPr>
          <w:rFonts w:ascii="Calibri" w:eastAsia="Cambria" w:hAnsi="Calibri" w:cs="Calibri"/>
          <w:color w:val="000000"/>
        </w:rPr>
      </w:pPr>
    </w:p>
    <w:p w14:paraId="05295060" w14:textId="77777777" w:rsidR="00D0706C" w:rsidRPr="006C6124" w:rsidRDefault="00D0706C" w:rsidP="00D0706C">
      <w:pPr>
        <w:tabs>
          <w:tab w:val="left" w:leader="dot" w:pos="360"/>
        </w:tabs>
        <w:spacing w:after="5" w:line="250" w:lineRule="auto"/>
        <w:ind w:left="10" w:right="51" w:hanging="10"/>
        <w:outlineLvl w:val="0"/>
        <w:rPr>
          <w:rFonts w:ascii="Calibri" w:eastAsia="Cambria" w:hAnsi="Calibri" w:cs="Calibri"/>
          <w:color w:val="000000"/>
          <w:lang w:val="x-none"/>
        </w:rPr>
      </w:pPr>
      <w:r w:rsidRPr="006C6124">
        <w:rPr>
          <w:rFonts w:ascii="Calibri" w:eastAsia="Cambria" w:hAnsi="Calibri" w:cs="Calibri"/>
          <w:color w:val="000000"/>
        </w:rPr>
        <w:t>In accordance with Assurance 3(b), please provide information on the current composition of the Council by representative type, including the term number of the representative, as applicable, and any vacancies, as well as the beginning dates of each representative’s term.</w:t>
      </w:r>
    </w:p>
    <w:p w14:paraId="1CFD25D4" w14:textId="77777777" w:rsidR="00D0706C" w:rsidRPr="006C6124" w:rsidRDefault="00D0706C" w:rsidP="00D0706C">
      <w:pPr>
        <w:spacing w:after="5" w:line="250" w:lineRule="auto"/>
        <w:ind w:left="360" w:right="51" w:hanging="10"/>
        <w:contextualSpacing/>
        <w:jc w:val="both"/>
        <w:rPr>
          <w:rFonts w:ascii="Calibri" w:eastAsia="Calibri" w:hAnsi="Calibri" w:cs="Calibri"/>
          <w:color w:val="000000"/>
          <w:lang w:val="x-none" w:eastAsia="x-none"/>
        </w:rPr>
      </w:pPr>
    </w:p>
    <w:tbl>
      <w:tblPr>
        <w:tblStyle w:val="TableGrid"/>
        <w:tblW w:w="0" w:type="auto"/>
        <w:tblInd w:w="-5" w:type="dxa"/>
        <w:tblLayout w:type="fixed"/>
        <w:tblLook w:val="04A0" w:firstRow="1" w:lastRow="0" w:firstColumn="1" w:lastColumn="0" w:noHBand="0" w:noVBand="1"/>
      </w:tblPr>
      <w:tblGrid>
        <w:gridCol w:w="6197"/>
        <w:gridCol w:w="1620"/>
        <w:gridCol w:w="1785"/>
      </w:tblGrid>
      <w:tr w:rsidR="00D0706C" w:rsidRPr="006C6124" w14:paraId="525B8A84" w14:textId="77777777" w:rsidTr="00C8258D">
        <w:tc>
          <w:tcPr>
            <w:tcW w:w="6197" w:type="dxa"/>
            <w:vAlign w:val="bottom"/>
          </w:tcPr>
          <w:p w14:paraId="36A0FD46" w14:textId="77777777" w:rsidR="00D0706C" w:rsidRPr="006C6124" w:rsidRDefault="00D0706C" w:rsidP="00D0706C">
            <w:pPr>
              <w:spacing w:after="5" w:line="250" w:lineRule="auto"/>
              <w:ind w:left="360" w:right="51" w:hanging="10"/>
              <w:contextualSpacing/>
              <w:jc w:val="both"/>
              <w:rPr>
                <w:rFonts w:ascii="Calibri" w:eastAsia="Calibri" w:hAnsi="Calibri" w:cs="Calibri"/>
                <w:b/>
                <w:color w:val="000000"/>
                <w:lang w:eastAsia="x-none"/>
              </w:rPr>
            </w:pPr>
          </w:p>
          <w:p w14:paraId="5921364D" w14:textId="77777777" w:rsidR="00D0706C" w:rsidRPr="006C6124" w:rsidRDefault="00D0706C" w:rsidP="00D0706C">
            <w:pPr>
              <w:spacing w:after="5" w:line="250" w:lineRule="auto"/>
              <w:ind w:left="360" w:right="51" w:hanging="10"/>
              <w:contextualSpacing/>
              <w:jc w:val="both"/>
              <w:rPr>
                <w:rFonts w:ascii="Calibri" w:eastAsia="Calibri" w:hAnsi="Calibri" w:cs="Calibri"/>
                <w:b/>
                <w:color w:val="000000"/>
                <w:lang w:eastAsia="x-none"/>
              </w:rPr>
            </w:pPr>
            <w:r w:rsidRPr="006C6124">
              <w:rPr>
                <w:rFonts w:ascii="Calibri" w:eastAsia="Calibri" w:hAnsi="Calibri" w:cs="Calibri"/>
                <w:b/>
                <w:color w:val="000000"/>
              </w:rPr>
              <w:t>Council Representative</w:t>
            </w:r>
          </w:p>
        </w:tc>
        <w:tc>
          <w:tcPr>
            <w:tcW w:w="1620" w:type="dxa"/>
            <w:vAlign w:val="bottom"/>
          </w:tcPr>
          <w:p w14:paraId="6A2D19F0" w14:textId="77777777" w:rsidR="00D0706C" w:rsidRPr="006C6124" w:rsidRDefault="00D0706C" w:rsidP="00D0706C">
            <w:pPr>
              <w:spacing w:after="5" w:line="250" w:lineRule="auto"/>
              <w:ind w:left="360" w:right="51" w:hanging="10"/>
              <w:contextualSpacing/>
              <w:rPr>
                <w:rFonts w:ascii="Calibri" w:eastAsia="Calibri" w:hAnsi="Calibri" w:cs="Calibri"/>
                <w:b/>
                <w:color w:val="000000"/>
                <w:lang w:eastAsia="x-none"/>
              </w:rPr>
            </w:pPr>
            <w:r w:rsidRPr="006C6124">
              <w:rPr>
                <w:rFonts w:ascii="Calibri" w:eastAsia="Calibri" w:hAnsi="Calibri" w:cs="Calibri"/>
                <w:b/>
                <w:color w:val="000000"/>
              </w:rPr>
              <w:t>Current Term</w:t>
            </w:r>
          </w:p>
          <w:p w14:paraId="5F48F097" w14:textId="77777777" w:rsidR="00D0706C" w:rsidRPr="006C6124" w:rsidRDefault="00D0706C" w:rsidP="00D0706C">
            <w:pPr>
              <w:spacing w:after="5" w:line="250" w:lineRule="auto"/>
              <w:ind w:left="360" w:right="51" w:hanging="10"/>
              <w:contextualSpacing/>
              <w:rPr>
                <w:rFonts w:ascii="Calibri" w:eastAsia="Calibri" w:hAnsi="Calibri" w:cs="Calibri"/>
                <w:b/>
                <w:color w:val="000000"/>
                <w:lang w:eastAsia="x-none"/>
              </w:rPr>
            </w:pPr>
            <w:r w:rsidRPr="006C6124">
              <w:rPr>
                <w:rFonts w:ascii="Calibri" w:eastAsia="Calibri" w:hAnsi="Calibri" w:cs="Calibri"/>
                <w:b/>
                <w:color w:val="000000"/>
              </w:rPr>
              <w:t>Number/</w:t>
            </w:r>
          </w:p>
          <w:p w14:paraId="0C42B9FC" w14:textId="77777777" w:rsidR="00D0706C" w:rsidRPr="006C6124" w:rsidRDefault="00D0706C" w:rsidP="00D0706C">
            <w:pPr>
              <w:spacing w:after="5" w:line="250" w:lineRule="auto"/>
              <w:ind w:left="360" w:right="51" w:hanging="10"/>
              <w:contextualSpacing/>
              <w:rPr>
                <w:rFonts w:ascii="Calibri" w:eastAsia="Calibri" w:hAnsi="Calibri" w:cs="Calibri"/>
                <w:b/>
                <w:color w:val="000000"/>
                <w:lang w:eastAsia="x-none"/>
              </w:rPr>
            </w:pPr>
            <w:r w:rsidRPr="006C6124">
              <w:rPr>
                <w:rFonts w:ascii="Calibri" w:eastAsia="Calibri" w:hAnsi="Calibri" w:cs="Calibri"/>
                <w:b/>
                <w:color w:val="000000"/>
              </w:rPr>
              <w:t>Vacant</w:t>
            </w:r>
          </w:p>
        </w:tc>
        <w:tc>
          <w:tcPr>
            <w:tcW w:w="1785" w:type="dxa"/>
            <w:vAlign w:val="bottom"/>
          </w:tcPr>
          <w:p w14:paraId="76E5A5F3" w14:textId="77777777" w:rsidR="00D0706C" w:rsidRPr="006C6124" w:rsidRDefault="00D0706C" w:rsidP="00D0706C">
            <w:pPr>
              <w:spacing w:after="5" w:line="250" w:lineRule="auto"/>
              <w:ind w:left="360" w:right="51" w:hanging="10"/>
              <w:contextualSpacing/>
              <w:rPr>
                <w:rFonts w:ascii="Calibri" w:eastAsia="Calibri" w:hAnsi="Calibri" w:cs="Calibri"/>
                <w:b/>
                <w:color w:val="000000"/>
                <w:lang w:eastAsia="x-none"/>
              </w:rPr>
            </w:pPr>
            <w:r w:rsidRPr="006C6124">
              <w:rPr>
                <w:rFonts w:ascii="Calibri" w:eastAsia="Calibri" w:hAnsi="Calibri" w:cs="Calibri"/>
                <w:b/>
                <w:color w:val="000000"/>
              </w:rPr>
              <w:t>Beginning Date of Term</w:t>
            </w:r>
          </w:p>
          <w:p w14:paraId="631C5E53" w14:textId="77777777" w:rsidR="00D0706C" w:rsidRPr="006C6124" w:rsidRDefault="00D0706C" w:rsidP="00D0706C">
            <w:pPr>
              <w:spacing w:after="5" w:line="250" w:lineRule="auto"/>
              <w:ind w:left="360" w:right="51" w:hanging="10"/>
              <w:contextualSpacing/>
              <w:rPr>
                <w:rFonts w:ascii="Calibri" w:eastAsia="Calibri" w:hAnsi="Calibri" w:cs="Calibri"/>
                <w:b/>
                <w:color w:val="000000"/>
                <w:lang w:eastAsia="x-none"/>
              </w:rPr>
            </w:pPr>
            <w:r w:rsidRPr="006C6124">
              <w:rPr>
                <w:rFonts w:ascii="Calibri" w:eastAsia="Calibri" w:hAnsi="Calibri" w:cs="Calibri"/>
                <w:b/>
                <w:color w:val="000000"/>
              </w:rPr>
              <w:t>Mo./Yr.</w:t>
            </w:r>
          </w:p>
        </w:tc>
      </w:tr>
      <w:tr w:rsidR="00D0706C" w:rsidRPr="006C6124" w14:paraId="2033BFB2" w14:textId="77777777" w:rsidTr="00C8258D">
        <w:tc>
          <w:tcPr>
            <w:tcW w:w="6197" w:type="dxa"/>
          </w:tcPr>
          <w:p w14:paraId="1CDDC72B" w14:textId="77777777" w:rsidR="00D0706C" w:rsidRPr="006C6124" w:rsidRDefault="00D0706C" w:rsidP="00D0706C">
            <w:pPr>
              <w:spacing w:after="5" w:line="250" w:lineRule="auto"/>
              <w:ind w:left="360" w:right="51" w:hanging="10"/>
              <w:contextualSpacing/>
              <w:jc w:val="both"/>
              <w:rPr>
                <w:rFonts w:ascii="Calibri" w:eastAsia="Calibri" w:hAnsi="Calibri" w:cs="Calibri"/>
                <w:color w:val="000000"/>
                <w:lang w:eastAsia="x-none"/>
              </w:rPr>
            </w:pPr>
            <w:r w:rsidRPr="006C6124">
              <w:rPr>
                <w:rFonts w:ascii="Calibri" w:eastAsia="Calibri" w:hAnsi="Calibri" w:cs="Calibri"/>
                <w:color w:val="000000"/>
              </w:rPr>
              <w:t>Statewide Independent Living Council (SILC)</w:t>
            </w:r>
          </w:p>
        </w:tc>
        <w:tc>
          <w:tcPr>
            <w:tcW w:w="1620" w:type="dxa"/>
          </w:tcPr>
          <w:p w14:paraId="032E6E9A" w14:textId="79F28CB4" w:rsidR="00F708C2" w:rsidRPr="006C6124" w:rsidRDefault="001A16D7" w:rsidP="00C12C41">
            <w:pPr>
              <w:spacing w:after="5" w:line="250" w:lineRule="auto"/>
              <w:ind w:left="357" w:right="51"/>
              <w:contextualSpacing/>
              <w:jc w:val="both"/>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1785" w:type="dxa"/>
          </w:tcPr>
          <w:p w14:paraId="2755C358" w14:textId="23B13EAC" w:rsidR="00D0706C" w:rsidRPr="006C6124" w:rsidRDefault="001A16D7" w:rsidP="00D0706C">
            <w:pPr>
              <w:spacing w:after="5" w:line="250" w:lineRule="auto"/>
              <w:ind w:left="360" w:right="51" w:hanging="10"/>
              <w:contextualSpacing/>
              <w:jc w:val="both"/>
              <w:rPr>
                <w:rFonts w:ascii="Calibri" w:eastAsia="Calibri" w:hAnsi="Calibri" w:cs="Calibri"/>
                <w:color w:val="000000"/>
                <w:lang w:eastAsia="x-none"/>
              </w:rPr>
            </w:pPr>
            <w:r w:rsidRPr="006C6124">
              <w:rPr>
                <w:rFonts w:ascii="Calibri" w:eastAsia="Calibri" w:hAnsi="Calibri" w:cs="Calibri"/>
                <w:color w:val="000000"/>
                <w:lang w:eastAsia="x-none"/>
              </w:rPr>
              <w:t>2/2022</w:t>
            </w:r>
          </w:p>
        </w:tc>
      </w:tr>
      <w:tr w:rsidR="00D0706C" w:rsidRPr="006C6124" w14:paraId="36583597" w14:textId="77777777" w:rsidTr="00C8258D">
        <w:tc>
          <w:tcPr>
            <w:tcW w:w="6197" w:type="dxa"/>
          </w:tcPr>
          <w:p w14:paraId="7C4DC708" w14:textId="77777777" w:rsidR="00D0706C" w:rsidRPr="006C6124" w:rsidRDefault="00D0706C" w:rsidP="00D0706C">
            <w:pPr>
              <w:spacing w:after="5" w:line="250" w:lineRule="auto"/>
              <w:ind w:left="360" w:right="51" w:hanging="10"/>
              <w:rPr>
                <w:rFonts w:ascii="Calibri" w:eastAsia="Calibri" w:hAnsi="Calibri" w:cs="Calibri"/>
                <w:color w:val="000000"/>
                <w:lang w:val="x-none" w:eastAsia="x-none"/>
              </w:rPr>
            </w:pPr>
            <w:r w:rsidRPr="006C6124">
              <w:rPr>
                <w:rFonts w:ascii="Calibri" w:eastAsia="Calibri" w:hAnsi="Calibri" w:cs="Calibri"/>
                <w:color w:val="000000"/>
              </w:rPr>
              <w:t>Parent Training and Information Center</w:t>
            </w:r>
          </w:p>
        </w:tc>
        <w:tc>
          <w:tcPr>
            <w:tcW w:w="1620" w:type="dxa"/>
          </w:tcPr>
          <w:p w14:paraId="4ED98706" w14:textId="2583D299" w:rsidR="00D0706C" w:rsidRPr="006C6124" w:rsidRDefault="00CD7AA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Vacant</w:t>
            </w:r>
          </w:p>
        </w:tc>
        <w:tc>
          <w:tcPr>
            <w:tcW w:w="1785" w:type="dxa"/>
          </w:tcPr>
          <w:p w14:paraId="0A1DDA9B" w14:textId="15F45FC9" w:rsidR="00D0706C" w:rsidRPr="006C6124" w:rsidRDefault="0043377E" w:rsidP="00D0706C">
            <w:pPr>
              <w:spacing w:after="5" w:line="250" w:lineRule="auto"/>
              <w:ind w:left="360" w:right="51" w:hanging="10"/>
              <w:contextualSpacing/>
              <w:rPr>
                <w:rFonts w:ascii="Calibri" w:eastAsia="Calibri" w:hAnsi="Calibri" w:cs="Calibri"/>
                <w:color w:val="000000"/>
                <w:lang w:eastAsia="x-none"/>
              </w:rPr>
            </w:pPr>
            <w:r>
              <w:rPr>
                <w:rFonts w:ascii="Calibri" w:eastAsia="Calibri" w:hAnsi="Calibri" w:cs="Calibri"/>
                <w:color w:val="000000"/>
                <w:lang w:eastAsia="x-none"/>
              </w:rPr>
              <w:t>6/2020</w:t>
            </w:r>
          </w:p>
        </w:tc>
      </w:tr>
      <w:tr w:rsidR="00D0706C" w:rsidRPr="006C6124" w14:paraId="3184F12D" w14:textId="77777777" w:rsidTr="00C8258D">
        <w:tc>
          <w:tcPr>
            <w:tcW w:w="6197" w:type="dxa"/>
          </w:tcPr>
          <w:p w14:paraId="710CAE0E"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Client Assistance Program</w:t>
            </w:r>
          </w:p>
        </w:tc>
        <w:tc>
          <w:tcPr>
            <w:tcW w:w="1620" w:type="dxa"/>
          </w:tcPr>
          <w:p w14:paraId="0E7E44E0" w14:textId="08A93957" w:rsidR="00D0706C" w:rsidRPr="006C6124" w:rsidRDefault="00145188"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tcPr>
          <w:p w14:paraId="1D250D89" w14:textId="23426337" w:rsidR="00D0706C" w:rsidRPr="006C6124" w:rsidRDefault="00904E14"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2/2023</w:t>
            </w:r>
          </w:p>
        </w:tc>
      </w:tr>
      <w:tr w:rsidR="00D0706C" w:rsidRPr="006C6124" w14:paraId="0BC29102" w14:textId="77777777" w:rsidTr="00625783">
        <w:tc>
          <w:tcPr>
            <w:tcW w:w="6197" w:type="dxa"/>
          </w:tcPr>
          <w:p w14:paraId="54250BDC"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 xml:space="preserve">Qualified Vocational Rehabilitation (VR) Counselor (Ex Officio if Employed by the VR Agency) </w:t>
            </w:r>
          </w:p>
        </w:tc>
        <w:tc>
          <w:tcPr>
            <w:tcW w:w="1620" w:type="dxa"/>
            <w:vAlign w:val="center"/>
          </w:tcPr>
          <w:p w14:paraId="2C44DFD3" w14:textId="44E501B5" w:rsidR="00D0706C" w:rsidRPr="006C6124" w:rsidRDefault="00904E14"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vAlign w:val="center"/>
          </w:tcPr>
          <w:p w14:paraId="694B6084" w14:textId="6A26BFCC" w:rsidR="00D0706C" w:rsidRPr="006C6124" w:rsidRDefault="00904E14"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2/2023</w:t>
            </w:r>
          </w:p>
        </w:tc>
      </w:tr>
      <w:tr w:rsidR="00D0706C" w:rsidRPr="006C6124" w14:paraId="64C3BA55" w14:textId="77777777" w:rsidTr="00C8258D">
        <w:tc>
          <w:tcPr>
            <w:tcW w:w="6197" w:type="dxa"/>
          </w:tcPr>
          <w:p w14:paraId="4241A02A"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Community Rehabilitation Program Service Provider</w:t>
            </w:r>
          </w:p>
        </w:tc>
        <w:tc>
          <w:tcPr>
            <w:tcW w:w="1620" w:type="dxa"/>
          </w:tcPr>
          <w:p w14:paraId="6AAA4C10" w14:textId="73F72FAC" w:rsidR="00D0706C" w:rsidRPr="006C6124" w:rsidRDefault="00904E14"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Vacant</w:t>
            </w:r>
          </w:p>
        </w:tc>
        <w:tc>
          <w:tcPr>
            <w:tcW w:w="1785" w:type="dxa"/>
          </w:tcPr>
          <w:p w14:paraId="2234F5BB" w14:textId="70902098" w:rsidR="00D0706C" w:rsidRPr="006C6124" w:rsidRDefault="00E26762" w:rsidP="00D0706C">
            <w:pPr>
              <w:spacing w:after="5" w:line="250" w:lineRule="auto"/>
              <w:ind w:left="360" w:right="51" w:hanging="10"/>
              <w:contextualSpacing/>
              <w:rPr>
                <w:rFonts w:ascii="Calibri" w:eastAsia="Calibri" w:hAnsi="Calibri" w:cs="Calibri"/>
                <w:color w:val="000000"/>
                <w:lang w:eastAsia="x-none"/>
              </w:rPr>
            </w:pPr>
            <w:r>
              <w:rPr>
                <w:rFonts w:ascii="Calibri" w:eastAsia="Calibri" w:hAnsi="Calibri" w:cs="Calibri"/>
                <w:color w:val="000000"/>
                <w:lang w:eastAsia="x-none"/>
              </w:rPr>
              <w:t>6/2020</w:t>
            </w:r>
          </w:p>
        </w:tc>
      </w:tr>
      <w:tr w:rsidR="00D0706C" w:rsidRPr="006C6124" w14:paraId="771EE60C" w14:textId="77777777" w:rsidTr="00C8258D">
        <w:tc>
          <w:tcPr>
            <w:tcW w:w="6197" w:type="dxa"/>
          </w:tcPr>
          <w:p w14:paraId="43D03FF2"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 xml:space="preserve">Business, Industry, and Labor </w:t>
            </w:r>
          </w:p>
        </w:tc>
        <w:tc>
          <w:tcPr>
            <w:tcW w:w="1620" w:type="dxa"/>
          </w:tcPr>
          <w:p w14:paraId="2732046D" w14:textId="567973F9" w:rsidR="00D0706C" w:rsidRPr="006C6124" w:rsidRDefault="0007635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Vacant</w:t>
            </w:r>
          </w:p>
        </w:tc>
        <w:tc>
          <w:tcPr>
            <w:tcW w:w="1785" w:type="dxa"/>
          </w:tcPr>
          <w:p w14:paraId="44E09773" w14:textId="125C2D92" w:rsidR="00D0706C" w:rsidRPr="008A1B25" w:rsidRDefault="008A1B25" w:rsidP="00D0706C">
            <w:pPr>
              <w:spacing w:after="5" w:line="250" w:lineRule="auto"/>
              <w:ind w:left="360" w:right="51" w:hanging="10"/>
              <w:contextualSpacing/>
              <w:rPr>
                <w:rFonts w:ascii="Calibri" w:eastAsia="Calibri" w:hAnsi="Calibri" w:cs="Calibri"/>
                <w:color w:val="000000"/>
                <w:lang w:eastAsia="x-none"/>
              </w:rPr>
            </w:pPr>
            <w:r>
              <w:rPr>
                <w:rFonts w:ascii="Calibri" w:eastAsia="Calibri" w:hAnsi="Calibri" w:cs="Calibri"/>
                <w:color w:val="000000"/>
                <w:lang w:eastAsia="x-none"/>
              </w:rPr>
              <w:t>7/2019</w:t>
            </w:r>
          </w:p>
        </w:tc>
      </w:tr>
      <w:tr w:rsidR="00D0706C" w:rsidRPr="006C6124" w14:paraId="4DD8FC6C" w14:textId="77777777" w:rsidTr="00C8258D">
        <w:tc>
          <w:tcPr>
            <w:tcW w:w="6197" w:type="dxa"/>
          </w:tcPr>
          <w:p w14:paraId="776C614D"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val="x-none" w:eastAsia="x-none"/>
              </w:rPr>
            </w:pPr>
            <w:r w:rsidRPr="006C6124">
              <w:rPr>
                <w:rFonts w:ascii="Calibri" w:eastAsia="Calibri" w:hAnsi="Calibri" w:cs="Calibri"/>
                <w:color w:val="000000"/>
              </w:rPr>
              <w:t>Business, Industry, and Labor</w:t>
            </w:r>
          </w:p>
        </w:tc>
        <w:tc>
          <w:tcPr>
            <w:tcW w:w="1620" w:type="dxa"/>
          </w:tcPr>
          <w:p w14:paraId="13DDCC6C" w14:textId="78C3F69C" w:rsidR="00D0706C" w:rsidRPr="006C6124" w:rsidRDefault="00EF274F"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tcPr>
          <w:p w14:paraId="3EF8120B" w14:textId="4A9B8410" w:rsidR="00D0706C" w:rsidRPr="006C6124" w:rsidRDefault="00EF274F"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2/2022</w:t>
            </w:r>
          </w:p>
        </w:tc>
      </w:tr>
      <w:tr w:rsidR="00D0706C" w:rsidRPr="006C6124" w14:paraId="14C3D95D" w14:textId="77777777" w:rsidTr="00C8258D">
        <w:tc>
          <w:tcPr>
            <w:tcW w:w="6197" w:type="dxa"/>
          </w:tcPr>
          <w:p w14:paraId="18589F91"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val="x-none" w:eastAsia="x-none"/>
              </w:rPr>
            </w:pPr>
            <w:r w:rsidRPr="006C6124">
              <w:rPr>
                <w:rFonts w:ascii="Calibri" w:eastAsia="Calibri" w:hAnsi="Calibri" w:cs="Calibri"/>
                <w:color w:val="000000"/>
              </w:rPr>
              <w:t>Business, Industry, and Labor</w:t>
            </w:r>
          </w:p>
        </w:tc>
        <w:tc>
          <w:tcPr>
            <w:tcW w:w="1620" w:type="dxa"/>
          </w:tcPr>
          <w:p w14:paraId="1AEE3979" w14:textId="10D8C146" w:rsidR="00D0706C" w:rsidRPr="006C6124" w:rsidRDefault="00EF274F"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tcPr>
          <w:p w14:paraId="401F887C" w14:textId="6B71867C" w:rsidR="00D0706C" w:rsidRPr="006C6124" w:rsidRDefault="00EF274F"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6/2021</w:t>
            </w:r>
          </w:p>
        </w:tc>
      </w:tr>
      <w:tr w:rsidR="00D0706C" w:rsidRPr="006C6124" w14:paraId="5047D633" w14:textId="77777777" w:rsidTr="00C8258D">
        <w:tc>
          <w:tcPr>
            <w:tcW w:w="6197" w:type="dxa"/>
          </w:tcPr>
          <w:p w14:paraId="38766FDF"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val="x-none" w:eastAsia="x-none"/>
              </w:rPr>
            </w:pPr>
            <w:r w:rsidRPr="006C6124">
              <w:rPr>
                <w:rFonts w:ascii="Calibri" w:eastAsia="Calibri" w:hAnsi="Calibri" w:cs="Calibri"/>
                <w:color w:val="000000"/>
              </w:rPr>
              <w:t>Business, Industry, and Labor</w:t>
            </w:r>
          </w:p>
        </w:tc>
        <w:tc>
          <w:tcPr>
            <w:tcW w:w="1620" w:type="dxa"/>
          </w:tcPr>
          <w:p w14:paraId="32AE827F" w14:textId="01FF2163" w:rsidR="00D0706C" w:rsidRPr="006C6124" w:rsidRDefault="00EF274F"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1785" w:type="dxa"/>
          </w:tcPr>
          <w:p w14:paraId="6BD11CB9" w14:textId="3495F0B8" w:rsidR="00D0706C" w:rsidRPr="006C6124" w:rsidRDefault="0014728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2/2022</w:t>
            </w:r>
          </w:p>
        </w:tc>
      </w:tr>
      <w:tr w:rsidR="00D0706C" w:rsidRPr="006C6124" w14:paraId="106ED042" w14:textId="77777777" w:rsidTr="00C8258D">
        <w:tc>
          <w:tcPr>
            <w:tcW w:w="6197" w:type="dxa"/>
          </w:tcPr>
          <w:p w14:paraId="6EF13911"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Disability Advocacy Groups</w:t>
            </w:r>
          </w:p>
        </w:tc>
        <w:tc>
          <w:tcPr>
            <w:tcW w:w="1620" w:type="dxa"/>
          </w:tcPr>
          <w:p w14:paraId="37273983" w14:textId="2D035938" w:rsidR="00D0706C" w:rsidRPr="006C6124" w:rsidRDefault="00E11FF9"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1785" w:type="dxa"/>
          </w:tcPr>
          <w:p w14:paraId="76D625A3" w14:textId="6638C414" w:rsidR="00D0706C" w:rsidRPr="006C6124" w:rsidRDefault="00E11FF9"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2/2022</w:t>
            </w:r>
          </w:p>
        </w:tc>
      </w:tr>
      <w:tr w:rsidR="00E11FF9" w:rsidRPr="006C6124" w14:paraId="76373D41" w14:textId="77777777" w:rsidTr="00C8258D">
        <w:tc>
          <w:tcPr>
            <w:tcW w:w="6197" w:type="dxa"/>
          </w:tcPr>
          <w:p w14:paraId="3D65D30B" w14:textId="77777777" w:rsidR="00E11FF9" w:rsidRPr="006C6124" w:rsidRDefault="00E11FF9">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Disability Advocacy Groups</w:t>
            </w:r>
          </w:p>
        </w:tc>
        <w:tc>
          <w:tcPr>
            <w:tcW w:w="1620" w:type="dxa"/>
          </w:tcPr>
          <w:p w14:paraId="065E27F6" w14:textId="748294C1" w:rsidR="00E11FF9" w:rsidRPr="006C6124" w:rsidRDefault="00E11FF9">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1785" w:type="dxa"/>
          </w:tcPr>
          <w:p w14:paraId="652FCF79" w14:textId="26FA7B92" w:rsidR="00E11FF9" w:rsidRPr="006C6124" w:rsidRDefault="001735B2">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6/2021</w:t>
            </w:r>
          </w:p>
        </w:tc>
      </w:tr>
      <w:tr w:rsidR="00E11FF9" w:rsidRPr="006C6124" w14:paraId="243E5F81" w14:textId="77777777" w:rsidTr="00C8258D">
        <w:tc>
          <w:tcPr>
            <w:tcW w:w="6197" w:type="dxa"/>
          </w:tcPr>
          <w:p w14:paraId="4035E0D2" w14:textId="77777777" w:rsidR="00E11FF9" w:rsidRPr="006C6124" w:rsidRDefault="00E11FF9">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Disability Advocacy Groups</w:t>
            </w:r>
          </w:p>
        </w:tc>
        <w:tc>
          <w:tcPr>
            <w:tcW w:w="1620" w:type="dxa"/>
          </w:tcPr>
          <w:p w14:paraId="6DFEBC04" w14:textId="5091A108" w:rsidR="00E11FF9" w:rsidRPr="006C6124" w:rsidRDefault="00E11FF9">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tcPr>
          <w:p w14:paraId="607FDC96" w14:textId="29F23E0D" w:rsidR="00E11FF9" w:rsidRPr="006C6124" w:rsidRDefault="001735B2">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9/2021</w:t>
            </w:r>
          </w:p>
        </w:tc>
      </w:tr>
      <w:tr w:rsidR="00D0706C" w:rsidRPr="006C6124" w14:paraId="530E90B8" w14:textId="77777777" w:rsidTr="00C8258D">
        <w:tc>
          <w:tcPr>
            <w:tcW w:w="6197" w:type="dxa"/>
          </w:tcPr>
          <w:p w14:paraId="06383924"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val="x-none" w:eastAsia="x-none"/>
              </w:rPr>
            </w:pPr>
            <w:r w:rsidRPr="006C6124">
              <w:rPr>
                <w:rFonts w:ascii="Calibri" w:eastAsia="Calibri" w:hAnsi="Calibri" w:cs="Calibri"/>
                <w:color w:val="000000"/>
              </w:rPr>
              <w:t>Current or Former Applicants for, or Recipients of, VR services</w:t>
            </w:r>
          </w:p>
        </w:tc>
        <w:tc>
          <w:tcPr>
            <w:tcW w:w="1620" w:type="dxa"/>
          </w:tcPr>
          <w:p w14:paraId="35F4C04B" w14:textId="5E70871F" w:rsidR="00D0706C" w:rsidRPr="006C6124" w:rsidRDefault="00601DD7"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Vacant</w:t>
            </w:r>
          </w:p>
        </w:tc>
        <w:tc>
          <w:tcPr>
            <w:tcW w:w="1785" w:type="dxa"/>
          </w:tcPr>
          <w:p w14:paraId="0981C927" w14:textId="4429A836" w:rsidR="00D0706C" w:rsidRPr="006726FF" w:rsidRDefault="006726FF" w:rsidP="00D0706C">
            <w:pPr>
              <w:spacing w:after="5" w:line="250" w:lineRule="auto"/>
              <w:ind w:left="360" w:right="51" w:hanging="10"/>
              <w:contextualSpacing/>
              <w:rPr>
                <w:rFonts w:ascii="Calibri" w:eastAsia="Calibri" w:hAnsi="Calibri" w:cs="Calibri"/>
                <w:color w:val="000000"/>
                <w:lang w:eastAsia="x-none"/>
              </w:rPr>
            </w:pPr>
            <w:r>
              <w:rPr>
                <w:rFonts w:ascii="Calibri" w:eastAsia="Calibri" w:hAnsi="Calibri" w:cs="Calibri"/>
                <w:color w:val="000000"/>
                <w:lang w:eastAsia="x-none"/>
              </w:rPr>
              <w:t>6/2020</w:t>
            </w:r>
          </w:p>
        </w:tc>
      </w:tr>
      <w:tr w:rsidR="00D0706C" w:rsidRPr="006C6124" w14:paraId="31315F84" w14:textId="77777777" w:rsidTr="00C8258D">
        <w:tc>
          <w:tcPr>
            <w:tcW w:w="6197" w:type="dxa"/>
          </w:tcPr>
          <w:p w14:paraId="70D2BB7B"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Section 121 Project Directors in the State (as applicable)</w:t>
            </w:r>
          </w:p>
        </w:tc>
        <w:tc>
          <w:tcPr>
            <w:tcW w:w="1620" w:type="dxa"/>
          </w:tcPr>
          <w:p w14:paraId="5F6F5950" w14:textId="2304C667" w:rsidR="00D0706C" w:rsidRPr="006C6124" w:rsidRDefault="00FF52DA"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Vacant</w:t>
            </w:r>
          </w:p>
        </w:tc>
        <w:tc>
          <w:tcPr>
            <w:tcW w:w="1785" w:type="dxa"/>
          </w:tcPr>
          <w:p w14:paraId="4DC2472D" w14:textId="54608B0E" w:rsidR="00D0706C" w:rsidRPr="006726FF" w:rsidRDefault="006726FF" w:rsidP="00D0706C">
            <w:pPr>
              <w:spacing w:after="5" w:line="250" w:lineRule="auto"/>
              <w:ind w:left="360" w:right="51" w:hanging="10"/>
              <w:contextualSpacing/>
              <w:rPr>
                <w:rFonts w:ascii="Calibri" w:eastAsia="Calibri" w:hAnsi="Calibri" w:cs="Calibri"/>
                <w:color w:val="000000"/>
                <w:lang w:eastAsia="x-none"/>
              </w:rPr>
            </w:pPr>
            <w:r>
              <w:rPr>
                <w:rFonts w:ascii="Calibri" w:eastAsia="Calibri" w:hAnsi="Calibri" w:cs="Calibri"/>
                <w:color w:val="000000"/>
                <w:lang w:eastAsia="x-none"/>
              </w:rPr>
              <w:t>6/2020</w:t>
            </w:r>
          </w:p>
        </w:tc>
      </w:tr>
      <w:tr w:rsidR="00D0706C" w:rsidRPr="006C6124" w14:paraId="61C55FCE" w14:textId="77777777" w:rsidTr="00D43ED0">
        <w:tc>
          <w:tcPr>
            <w:tcW w:w="6197" w:type="dxa"/>
          </w:tcPr>
          <w:p w14:paraId="4E2A2072" w14:textId="77777777" w:rsidR="00D0706C" w:rsidRPr="006C6124" w:rsidRDefault="00D0706C" w:rsidP="00D0706C">
            <w:pPr>
              <w:tabs>
                <w:tab w:val="left" w:pos="360"/>
              </w:tabs>
              <w:spacing w:after="5" w:line="250" w:lineRule="auto"/>
              <w:ind w:left="360" w:right="51" w:hanging="10"/>
              <w:rPr>
                <w:rFonts w:ascii="Calibri" w:eastAsia="Cambria" w:hAnsi="Calibri" w:cs="Calibri"/>
                <w:color w:val="000000"/>
              </w:rPr>
            </w:pPr>
            <w:r w:rsidRPr="006C6124">
              <w:rPr>
                <w:rFonts w:ascii="Calibri" w:eastAsia="Cambria" w:hAnsi="Calibri" w:cs="Calibri"/>
                <w:color w:val="000000"/>
              </w:rPr>
              <w:t>State Educational Agency Responsible for Students with Disabilities Eligible to Receive Services under Part B of the Individuals with Disabilities Education Act (IDEA)</w:t>
            </w:r>
          </w:p>
        </w:tc>
        <w:tc>
          <w:tcPr>
            <w:tcW w:w="1620" w:type="dxa"/>
            <w:vAlign w:val="center"/>
          </w:tcPr>
          <w:p w14:paraId="412B98EB" w14:textId="35BA0773" w:rsidR="00D0706C" w:rsidRPr="006C6124" w:rsidRDefault="00FF52DA" w:rsidP="00374D8E">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Vacant</w:t>
            </w:r>
          </w:p>
        </w:tc>
        <w:tc>
          <w:tcPr>
            <w:tcW w:w="1785" w:type="dxa"/>
            <w:vAlign w:val="center"/>
          </w:tcPr>
          <w:p w14:paraId="4096519A" w14:textId="2D29132B" w:rsidR="00D0706C" w:rsidRPr="00D43ED0" w:rsidRDefault="00D43ED0" w:rsidP="00D0706C">
            <w:pPr>
              <w:spacing w:after="5" w:line="250" w:lineRule="auto"/>
              <w:ind w:left="360" w:right="51" w:hanging="10"/>
              <w:contextualSpacing/>
              <w:rPr>
                <w:rFonts w:ascii="Calibri" w:eastAsia="Calibri" w:hAnsi="Calibri" w:cs="Calibri"/>
                <w:color w:val="000000"/>
                <w:lang w:eastAsia="x-none"/>
              </w:rPr>
            </w:pPr>
            <w:r>
              <w:rPr>
                <w:rFonts w:ascii="Calibri" w:eastAsia="Calibri" w:hAnsi="Calibri" w:cs="Calibri"/>
                <w:color w:val="000000"/>
                <w:lang w:eastAsia="x-none"/>
              </w:rPr>
              <w:t>2/2023</w:t>
            </w:r>
          </w:p>
        </w:tc>
      </w:tr>
      <w:tr w:rsidR="00D0706C" w:rsidRPr="006C6124" w14:paraId="2BB2A985" w14:textId="77777777" w:rsidTr="00C8258D">
        <w:tc>
          <w:tcPr>
            <w:tcW w:w="6197" w:type="dxa"/>
          </w:tcPr>
          <w:p w14:paraId="6BF93A06"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State Workforce Development Board</w:t>
            </w:r>
          </w:p>
        </w:tc>
        <w:tc>
          <w:tcPr>
            <w:tcW w:w="1620" w:type="dxa"/>
          </w:tcPr>
          <w:p w14:paraId="5333F05D" w14:textId="21984742" w:rsidR="00D0706C" w:rsidRPr="006C6124" w:rsidRDefault="00DB4C40"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tcPr>
          <w:p w14:paraId="0A99071D" w14:textId="0203CC89" w:rsidR="00D0706C" w:rsidRPr="006C6124" w:rsidRDefault="00DB4C40" w:rsidP="00D0706C">
            <w:pPr>
              <w:spacing w:after="5" w:line="250" w:lineRule="auto"/>
              <w:ind w:left="360" w:right="51" w:hanging="10"/>
              <w:contextualSpacing/>
              <w:rPr>
                <w:rFonts w:ascii="Calibri" w:eastAsia="Calibri" w:hAnsi="Calibri" w:cs="Calibri"/>
                <w:color w:val="000000"/>
                <w:lang w:val="x-none" w:eastAsia="x-none"/>
              </w:rPr>
            </w:pPr>
            <w:r w:rsidRPr="006C6124">
              <w:rPr>
                <w:rFonts w:ascii="Calibri" w:eastAsia="Calibri" w:hAnsi="Calibri" w:cs="Calibri"/>
                <w:color w:val="000000"/>
                <w:lang w:eastAsia="x-none"/>
              </w:rPr>
              <w:t>2</w:t>
            </w:r>
            <w:r w:rsidR="00863761">
              <w:rPr>
                <w:rFonts w:ascii="Calibri" w:eastAsia="Calibri" w:hAnsi="Calibri" w:cs="Calibri"/>
                <w:color w:val="000000"/>
                <w:lang w:eastAsia="x-none"/>
              </w:rPr>
              <w:t>/</w:t>
            </w:r>
            <w:r w:rsidRPr="006C6124">
              <w:rPr>
                <w:rFonts w:ascii="Calibri" w:eastAsia="Calibri" w:hAnsi="Calibri" w:cs="Calibri"/>
                <w:color w:val="000000"/>
                <w:lang w:eastAsia="x-none"/>
              </w:rPr>
              <w:t>2022</w:t>
            </w:r>
          </w:p>
        </w:tc>
      </w:tr>
      <w:tr w:rsidR="00D0706C" w:rsidRPr="006C6124" w14:paraId="36F3A7AD" w14:textId="77777777" w:rsidTr="007606D5">
        <w:tc>
          <w:tcPr>
            <w:tcW w:w="6197" w:type="dxa"/>
          </w:tcPr>
          <w:p w14:paraId="001E1FD3"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rPr>
              <w:t>VR Agency Director (Ex Officio)</w:t>
            </w:r>
          </w:p>
        </w:tc>
        <w:tc>
          <w:tcPr>
            <w:tcW w:w="1620" w:type="dxa"/>
            <w:vAlign w:val="center"/>
          </w:tcPr>
          <w:p w14:paraId="1EB7803A" w14:textId="2028F941" w:rsidR="00D0706C" w:rsidRPr="006C6124" w:rsidRDefault="00BF46C7" w:rsidP="00805342">
            <w:pPr>
              <w:spacing w:after="5" w:line="250" w:lineRule="auto"/>
              <w:ind w:right="51"/>
              <w:contextualSpacing/>
              <w:jc w:val="center"/>
              <w:rPr>
                <w:rFonts w:ascii="Calibri" w:eastAsia="Calibri" w:hAnsi="Calibri" w:cs="Calibri"/>
                <w:color w:val="000000"/>
                <w:lang w:eastAsia="x-none"/>
              </w:rPr>
            </w:pPr>
            <w:r w:rsidRPr="006C6124">
              <w:rPr>
                <w:rFonts w:ascii="Calibri" w:eastAsia="Calibri" w:hAnsi="Calibri" w:cs="Calibri"/>
                <w:color w:val="000000"/>
                <w:lang w:eastAsia="x-none"/>
              </w:rPr>
              <w:t>Ex Officio</w:t>
            </w:r>
          </w:p>
        </w:tc>
        <w:tc>
          <w:tcPr>
            <w:tcW w:w="1785" w:type="dxa"/>
          </w:tcPr>
          <w:p w14:paraId="00BEE8BF" w14:textId="4EA01074" w:rsidR="00D0706C" w:rsidRPr="006C6124" w:rsidRDefault="007606D5" w:rsidP="007606D5">
            <w:pPr>
              <w:spacing w:after="5" w:line="250" w:lineRule="auto"/>
              <w:ind w:right="51"/>
              <w:contextualSpacing/>
              <w:jc w:val="center"/>
              <w:rPr>
                <w:rFonts w:ascii="Calibri" w:eastAsia="Calibri" w:hAnsi="Calibri" w:cs="Calibri"/>
                <w:color w:val="000000"/>
                <w:lang w:eastAsia="x-none"/>
              </w:rPr>
            </w:pPr>
            <w:r>
              <w:rPr>
                <w:rFonts w:ascii="Calibri" w:eastAsia="Calibri" w:hAnsi="Calibri" w:cs="Calibri"/>
                <w:color w:val="000000"/>
                <w:lang w:eastAsia="x-none"/>
              </w:rPr>
              <w:t>Permanent</w:t>
            </w:r>
          </w:p>
        </w:tc>
      </w:tr>
      <w:tr w:rsidR="007771C1" w:rsidRPr="006C6124" w14:paraId="570F1F4F" w14:textId="77777777" w:rsidTr="006B0359">
        <w:tc>
          <w:tcPr>
            <w:tcW w:w="6197" w:type="dxa"/>
          </w:tcPr>
          <w:p w14:paraId="42B4C2AF" w14:textId="65835604" w:rsidR="007771C1" w:rsidRPr="006C6124" w:rsidRDefault="00F01715"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 xml:space="preserve">Advocate for Individuals </w:t>
            </w:r>
            <w:r w:rsidR="00A67C99" w:rsidRPr="006C6124">
              <w:rPr>
                <w:rFonts w:ascii="Calibri" w:eastAsia="Calibri" w:hAnsi="Calibri" w:cs="Calibri"/>
                <w:color w:val="000000"/>
                <w:lang w:eastAsia="x-none"/>
              </w:rPr>
              <w:t>w</w:t>
            </w:r>
            <w:r w:rsidRPr="006C6124">
              <w:rPr>
                <w:rFonts w:ascii="Calibri" w:eastAsia="Calibri" w:hAnsi="Calibri" w:cs="Calibri"/>
                <w:color w:val="000000"/>
                <w:lang w:eastAsia="x-none"/>
              </w:rPr>
              <w:t xml:space="preserve">ho are Blind </w:t>
            </w:r>
            <w:r w:rsidR="00A67C99" w:rsidRPr="006C6124">
              <w:rPr>
                <w:rFonts w:ascii="Calibri" w:eastAsia="Calibri" w:hAnsi="Calibri" w:cs="Calibri"/>
                <w:color w:val="000000"/>
                <w:lang w:eastAsia="x-none"/>
              </w:rPr>
              <w:t>with Multiple Disabilities</w:t>
            </w:r>
          </w:p>
        </w:tc>
        <w:tc>
          <w:tcPr>
            <w:tcW w:w="1620" w:type="dxa"/>
            <w:vAlign w:val="center"/>
          </w:tcPr>
          <w:p w14:paraId="2B9D7A15" w14:textId="0E180FAD" w:rsidR="007771C1" w:rsidRPr="006C6124" w:rsidRDefault="000F618A"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vAlign w:val="center"/>
          </w:tcPr>
          <w:p w14:paraId="53614E8B" w14:textId="7681E1AF" w:rsidR="007771C1" w:rsidRPr="006C6124" w:rsidRDefault="00E0480E"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2/2023</w:t>
            </w:r>
          </w:p>
        </w:tc>
      </w:tr>
      <w:tr w:rsidR="000F618A" w:rsidRPr="006C6124" w14:paraId="791DFA4B" w14:textId="77777777">
        <w:tc>
          <w:tcPr>
            <w:tcW w:w="6197" w:type="dxa"/>
          </w:tcPr>
          <w:p w14:paraId="24A58575" w14:textId="77777777" w:rsidR="000F618A" w:rsidRPr="006C6124" w:rsidRDefault="000F618A">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DeafBlind Community Representative</w:t>
            </w:r>
          </w:p>
        </w:tc>
        <w:tc>
          <w:tcPr>
            <w:tcW w:w="1620" w:type="dxa"/>
          </w:tcPr>
          <w:p w14:paraId="7CFD9704" w14:textId="77777777" w:rsidR="000F618A" w:rsidRPr="006C6124" w:rsidRDefault="000F618A">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1785" w:type="dxa"/>
          </w:tcPr>
          <w:p w14:paraId="27977987" w14:textId="185EB45C" w:rsidR="000F618A" w:rsidRPr="006C6124" w:rsidRDefault="000F618A">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2/2022</w:t>
            </w:r>
          </w:p>
        </w:tc>
      </w:tr>
    </w:tbl>
    <w:p w14:paraId="0013F07D" w14:textId="77777777" w:rsidR="00D0706C" w:rsidRPr="006C6124" w:rsidRDefault="00D0706C" w:rsidP="00D0706C">
      <w:pPr>
        <w:spacing w:after="5" w:line="250" w:lineRule="auto"/>
        <w:ind w:left="10" w:right="51" w:hanging="10"/>
        <w:rPr>
          <w:rFonts w:ascii="Calibri" w:eastAsia="Cambria" w:hAnsi="Calibri" w:cs="Calibri"/>
          <w:color w:val="000000"/>
        </w:rPr>
      </w:pPr>
    </w:p>
    <w:p w14:paraId="17FDA495" w14:textId="77777777" w:rsidR="00D0706C" w:rsidRPr="006C6124" w:rsidRDefault="00D0706C" w:rsidP="00D0706C">
      <w:pPr>
        <w:ind w:right="51" w:hanging="10"/>
        <w:rPr>
          <w:rFonts w:ascii="Calibri" w:eastAsiaTheme="minorEastAsia" w:hAnsi="Calibri" w:cs="Calibri"/>
        </w:rPr>
      </w:pPr>
      <w:r w:rsidRPr="006C6124">
        <w:rPr>
          <w:rFonts w:ascii="Calibri" w:eastAsiaTheme="minorEastAsia" w:hAnsi="Calibri" w:cs="Calibri"/>
        </w:rPr>
        <w:t>If the SRC is not meeting the composition requirements in section 105(b) of the Rehabilitation Act and/or is not meeting quarterly as required in section 105(f) of the Rehabilitation Act, provide the steps that the VR agency is taking to ensure it meets those requirements.</w:t>
      </w:r>
    </w:p>
    <w:p w14:paraId="4DA59C02" w14:textId="77777777" w:rsidR="00A058FA" w:rsidRDefault="00A058FA" w:rsidP="00D0706C">
      <w:pPr>
        <w:ind w:right="51" w:hanging="10"/>
        <w:rPr>
          <w:rFonts w:ascii="Calibri" w:eastAsiaTheme="minorEastAsia" w:hAnsi="Calibri" w:cs="Calibri"/>
        </w:rPr>
      </w:pPr>
    </w:p>
    <w:p w14:paraId="21886174" w14:textId="13E304CA" w:rsidR="00D0706C" w:rsidRPr="007A5B57" w:rsidRDefault="008C0CF8" w:rsidP="007A5B57">
      <w:pPr>
        <w:spacing w:after="360"/>
        <w:ind w:right="58" w:hanging="14"/>
        <w:rPr>
          <w:rFonts w:ascii="Calibri" w:eastAsiaTheme="minorEastAsia" w:hAnsi="Calibri" w:cs="Calibri"/>
        </w:rPr>
      </w:pPr>
      <w:r>
        <w:rPr>
          <w:rFonts w:ascii="Calibri" w:eastAsiaTheme="minorEastAsia" w:hAnsi="Calibri" w:cs="Calibri"/>
        </w:rPr>
        <w:t>The M</w:t>
      </w:r>
      <w:r w:rsidR="00BE4074">
        <w:rPr>
          <w:rFonts w:ascii="Calibri" w:eastAsiaTheme="minorEastAsia" w:hAnsi="Calibri" w:cs="Calibri"/>
        </w:rPr>
        <w:t xml:space="preserve">innesota State Rehabilitation </w:t>
      </w:r>
      <w:r w:rsidR="007E6375">
        <w:rPr>
          <w:rFonts w:ascii="Calibri" w:eastAsiaTheme="minorEastAsia" w:hAnsi="Calibri" w:cs="Calibri"/>
        </w:rPr>
        <w:t>Council for the Blind</w:t>
      </w:r>
      <w:r>
        <w:rPr>
          <w:rFonts w:ascii="Calibri" w:eastAsiaTheme="minorEastAsia" w:hAnsi="Calibri" w:cs="Calibri"/>
        </w:rPr>
        <w:t xml:space="preserve"> </w:t>
      </w:r>
      <w:r w:rsidR="007E6375">
        <w:rPr>
          <w:rFonts w:ascii="Calibri" w:eastAsiaTheme="minorEastAsia" w:hAnsi="Calibri" w:cs="Calibri"/>
        </w:rPr>
        <w:t>(</w:t>
      </w:r>
      <w:r>
        <w:rPr>
          <w:rFonts w:ascii="Calibri" w:eastAsiaTheme="minorEastAsia" w:hAnsi="Calibri" w:cs="Calibri"/>
        </w:rPr>
        <w:t>SRC-B</w:t>
      </w:r>
      <w:r w:rsidR="007E6375">
        <w:rPr>
          <w:rFonts w:ascii="Calibri" w:eastAsiaTheme="minorEastAsia" w:hAnsi="Calibri" w:cs="Calibri"/>
        </w:rPr>
        <w:t>)</w:t>
      </w:r>
      <w:r>
        <w:rPr>
          <w:rFonts w:ascii="Calibri" w:eastAsiaTheme="minorEastAsia" w:hAnsi="Calibri" w:cs="Calibri"/>
        </w:rPr>
        <w:t xml:space="preserve"> </w:t>
      </w:r>
      <w:r w:rsidR="006A7322">
        <w:rPr>
          <w:rFonts w:ascii="Calibri" w:eastAsiaTheme="minorEastAsia" w:hAnsi="Calibri" w:cs="Calibri"/>
        </w:rPr>
        <w:t xml:space="preserve">meets the first Thursday of </w:t>
      </w:r>
      <w:r w:rsidR="0033479F">
        <w:rPr>
          <w:rFonts w:ascii="Calibri" w:eastAsiaTheme="minorEastAsia" w:hAnsi="Calibri" w:cs="Calibri"/>
        </w:rPr>
        <w:t xml:space="preserve">every </w:t>
      </w:r>
      <w:r w:rsidR="006A7322">
        <w:rPr>
          <w:rFonts w:ascii="Calibri" w:eastAsiaTheme="minorEastAsia" w:hAnsi="Calibri" w:cs="Calibri"/>
        </w:rPr>
        <w:t>December, February, April, June, August, and October from 5:30 PM to 8:30 PM</w:t>
      </w:r>
      <w:r w:rsidR="006A7322" w:rsidRPr="007F3F9B">
        <w:rPr>
          <w:rFonts w:ascii="Calibri" w:eastAsiaTheme="minorEastAsia" w:hAnsi="Calibri" w:cs="Calibri"/>
        </w:rPr>
        <w:t>.</w:t>
      </w:r>
      <w:r w:rsidR="007E6375" w:rsidRPr="007F3F9B">
        <w:rPr>
          <w:rFonts w:ascii="Calibri" w:eastAsiaTheme="minorEastAsia" w:hAnsi="Calibri" w:cs="Calibri"/>
        </w:rPr>
        <w:t xml:space="preserve"> </w:t>
      </w:r>
      <w:r w:rsidR="00AD63E0" w:rsidRPr="007F3F9B">
        <w:rPr>
          <w:rFonts w:ascii="Calibri" w:eastAsiaTheme="minorEastAsia" w:hAnsi="Calibri" w:cs="Calibri"/>
        </w:rPr>
        <w:t xml:space="preserve">Historically, </w:t>
      </w:r>
      <w:r w:rsidR="00E31E72" w:rsidRPr="007F3F9B">
        <w:rPr>
          <w:rFonts w:ascii="Calibri" w:eastAsiaTheme="minorEastAsia" w:hAnsi="Calibri" w:cs="Calibri"/>
        </w:rPr>
        <w:t xml:space="preserve">SSB </w:t>
      </w:r>
      <w:r w:rsidR="00E31E72">
        <w:rPr>
          <w:rFonts w:ascii="Calibri" w:eastAsiaTheme="minorEastAsia" w:hAnsi="Calibri" w:cs="Calibri"/>
        </w:rPr>
        <w:t xml:space="preserve">has </w:t>
      </w:r>
      <w:r w:rsidR="00CF31FD">
        <w:rPr>
          <w:rFonts w:ascii="Calibri" w:eastAsiaTheme="minorEastAsia" w:hAnsi="Calibri" w:cs="Calibri"/>
        </w:rPr>
        <w:t xml:space="preserve">had difficulty </w:t>
      </w:r>
      <w:r w:rsidR="001E1B18">
        <w:rPr>
          <w:rFonts w:ascii="Calibri" w:eastAsiaTheme="minorEastAsia" w:hAnsi="Calibri" w:cs="Calibri"/>
        </w:rPr>
        <w:t xml:space="preserve">having council appointments approved </w:t>
      </w:r>
      <w:r w:rsidR="00262B04">
        <w:rPr>
          <w:rFonts w:ascii="Calibri" w:eastAsiaTheme="minorEastAsia" w:hAnsi="Calibri" w:cs="Calibri"/>
        </w:rPr>
        <w:t>by the Governor’s office</w:t>
      </w:r>
      <w:r w:rsidR="004B7BCD">
        <w:rPr>
          <w:rFonts w:ascii="Calibri" w:eastAsiaTheme="minorEastAsia" w:hAnsi="Calibri" w:cs="Calibri"/>
        </w:rPr>
        <w:t xml:space="preserve"> due to changing administrations</w:t>
      </w:r>
      <w:r w:rsidR="00F60A08">
        <w:rPr>
          <w:rFonts w:ascii="Calibri" w:eastAsiaTheme="minorEastAsia" w:hAnsi="Calibri" w:cs="Calibri"/>
        </w:rPr>
        <w:t xml:space="preserve"> and</w:t>
      </w:r>
      <w:r w:rsidR="004B7BCD">
        <w:rPr>
          <w:rFonts w:ascii="Calibri" w:eastAsiaTheme="minorEastAsia" w:hAnsi="Calibri" w:cs="Calibri"/>
        </w:rPr>
        <w:t xml:space="preserve"> </w:t>
      </w:r>
      <w:r w:rsidR="00A541AC">
        <w:rPr>
          <w:rFonts w:ascii="Calibri" w:eastAsiaTheme="minorEastAsia" w:hAnsi="Calibri" w:cs="Calibri"/>
        </w:rPr>
        <w:t xml:space="preserve">frequently changing staff. </w:t>
      </w:r>
      <w:r w:rsidR="001E666A">
        <w:rPr>
          <w:rFonts w:ascii="Calibri" w:eastAsiaTheme="minorEastAsia" w:hAnsi="Calibri" w:cs="Calibri"/>
        </w:rPr>
        <w:t>SSB</w:t>
      </w:r>
      <w:r w:rsidR="005C6A8B">
        <w:rPr>
          <w:rFonts w:ascii="Calibri" w:eastAsiaTheme="minorEastAsia" w:hAnsi="Calibri" w:cs="Calibri"/>
        </w:rPr>
        <w:t xml:space="preserve"> </w:t>
      </w:r>
      <w:r w:rsidR="002B60EF">
        <w:rPr>
          <w:rFonts w:ascii="Calibri" w:eastAsiaTheme="minorEastAsia" w:hAnsi="Calibri" w:cs="Calibri"/>
        </w:rPr>
        <w:t>makes an effort to</w:t>
      </w:r>
      <w:r w:rsidR="000338B1">
        <w:rPr>
          <w:rFonts w:ascii="Calibri" w:eastAsiaTheme="minorEastAsia" w:hAnsi="Calibri" w:cs="Calibri"/>
        </w:rPr>
        <w:t xml:space="preserve"> personally</w:t>
      </w:r>
      <w:r w:rsidR="002B60EF">
        <w:rPr>
          <w:rFonts w:ascii="Calibri" w:eastAsiaTheme="minorEastAsia" w:hAnsi="Calibri" w:cs="Calibri"/>
        </w:rPr>
        <w:t xml:space="preserve"> </w:t>
      </w:r>
      <w:r w:rsidR="000338B1">
        <w:rPr>
          <w:rFonts w:ascii="Calibri" w:eastAsiaTheme="minorEastAsia" w:hAnsi="Calibri" w:cs="Calibri"/>
        </w:rPr>
        <w:t xml:space="preserve">connect with </w:t>
      </w:r>
      <w:r w:rsidR="00747809">
        <w:rPr>
          <w:rFonts w:ascii="Calibri" w:eastAsiaTheme="minorEastAsia" w:hAnsi="Calibri" w:cs="Calibri"/>
        </w:rPr>
        <w:t xml:space="preserve">the </w:t>
      </w:r>
      <w:r w:rsidR="00B52A73">
        <w:rPr>
          <w:rFonts w:ascii="Calibri" w:eastAsiaTheme="minorEastAsia" w:hAnsi="Calibri" w:cs="Calibri"/>
        </w:rPr>
        <w:t>Boards and Commissions staff</w:t>
      </w:r>
      <w:r w:rsidR="00466167">
        <w:rPr>
          <w:rFonts w:ascii="Calibri" w:eastAsiaTheme="minorEastAsia" w:hAnsi="Calibri" w:cs="Calibri"/>
        </w:rPr>
        <w:t xml:space="preserve">, </w:t>
      </w:r>
      <w:r w:rsidR="00AD63E0">
        <w:rPr>
          <w:rFonts w:ascii="Calibri" w:eastAsiaTheme="minorEastAsia" w:hAnsi="Calibri" w:cs="Calibri"/>
        </w:rPr>
        <w:t xml:space="preserve">to provide </w:t>
      </w:r>
      <w:r w:rsidR="00466167">
        <w:rPr>
          <w:rFonts w:ascii="Calibri" w:eastAsiaTheme="minorEastAsia" w:hAnsi="Calibri" w:cs="Calibri"/>
        </w:rPr>
        <w:t xml:space="preserve">information and education on </w:t>
      </w:r>
      <w:r w:rsidR="00A220D0">
        <w:rPr>
          <w:rFonts w:ascii="Calibri" w:eastAsiaTheme="minorEastAsia" w:hAnsi="Calibri" w:cs="Calibri"/>
        </w:rPr>
        <w:t>SSB</w:t>
      </w:r>
      <w:r w:rsidR="00A05924">
        <w:rPr>
          <w:rFonts w:ascii="Calibri" w:eastAsiaTheme="minorEastAsia" w:hAnsi="Calibri" w:cs="Calibri"/>
        </w:rPr>
        <w:t xml:space="preserve"> in an effort to </w:t>
      </w:r>
      <w:r w:rsidR="008C244B">
        <w:rPr>
          <w:rFonts w:ascii="Calibri" w:eastAsiaTheme="minorEastAsia" w:hAnsi="Calibri" w:cs="Calibri"/>
        </w:rPr>
        <w:t xml:space="preserve">increase the speed of the </w:t>
      </w:r>
      <w:r w:rsidR="00AD63E0">
        <w:rPr>
          <w:rFonts w:ascii="Calibri" w:eastAsiaTheme="minorEastAsia" w:hAnsi="Calibri" w:cs="Calibri"/>
        </w:rPr>
        <w:t xml:space="preserve">approval </w:t>
      </w:r>
      <w:r w:rsidR="008C244B">
        <w:rPr>
          <w:rFonts w:ascii="Calibri" w:eastAsiaTheme="minorEastAsia" w:hAnsi="Calibri" w:cs="Calibri"/>
        </w:rPr>
        <w:t xml:space="preserve">process. </w:t>
      </w:r>
      <w:r w:rsidR="00C537B2">
        <w:rPr>
          <w:rFonts w:ascii="Calibri" w:eastAsiaTheme="minorEastAsia" w:hAnsi="Calibri" w:cs="Calibri"/>
        </w:rPr>
        <w:t xml:space="preserve">We currently have </w:t>
      </w:r>
      <w:r w:rsidR="00E50FE9">
        <w:rPr>
          <w:rFonts w:ascii="Calibri" w:eastAsiaTheme="minorEastAsia" w:hAnsi="Calibri" w:cs="Calibri"/>
        </w:rPr>
        <w:t>several o</w:t>
      </w:r>
      <w:r w:rsidR="00206191">
        <w:rPr>
          <w:rFonts w:ascii="Calibri" w:eastAsiaTheme="minorEastAsia" w:hAnsi="Calibri" w:cs="Calibri"/>
        </w:rPr>
        <w:t xml:space="preserve">pen positions due to </w:t>
      </w:r>
      <w:r w:rsidR="00453E45">
        <w:rPr>
          <w:rFonts w:ascii="Calibri" w:eastAsiaTheme="minorEastAsia" w:hAnsi="Calibri" w:cs="Calibri"/>
        </w:rPr>
        <w:t xml:space="preserve">completed terms, retirements, </w:t>
      </w:r>
      <w:r w:rsidR="006B63AE">
        <w:rPr>
          <w:rFonts w:ascii="Calibri" w:eastAsiaTheme="minorEastAsia" w:hAnsi="Calibri" w:cs="Calibri"/>
        </w:rPr>
        <w:t xml:space="preserve">or </w:t>
      </w:r>
      <w:r w:rsidR="00763C01">
        <w:rPr>
          <w:rFonts w:ascii="Calibri" w:eastAsiaTheme="minorEastAsia" w:hAnsi="Calibri" w:cs="Calibri"/>
        </w:rPr>
        <w:t>individuals leaving the</w:t>
      </w:r>
      <w:r w:rsidR="00D92B21">
        <w:rPr>
          <w:rFonts w:ascii="Calibri" w:eastAsiaTheme="minorEastAsia" w:hAnsi="Calibri" w:cs="Calibri"/>
        </w:rPr>
        <w:t xml:space="preserve"> </w:t>
      </w:r>
      <w:r w:rsidR="00D8426D">
        <w:rPr>
          <w:rFonts w:ascii="Calibri" w:eastAsiaTheme="minorEastAsia" w:hAnsi="Calibri" w:cs="Calibri"/>
        </w:rPr>
        <w:t>employment</w:t>
      </w:r>
      <w:r w:rsidR="00B305E1">
        <w:rPr>
          <w:rFonts w:ascii="Calibri" w:eastAsiaTheme="minorEastAsia" w:hAnsi="Calibri" w:cs="Calibri"/>
        </w:rPr>
        <w:t xml:space="preserve"> tied to</w:t>
      </w:r>
      <w:r w:rsidR="00C23F1A">
        <w:rPr>
          <w:rFonts w:ascii="Calibri" w:eastAsiaTheme="minorEastAsia" w:hAnsi="Calibri" w:cs="Calibri"/>
        </w:rPr>
        <w:t xml:space="preserve"> their council position. </w:t>
      </w:r>
      <w:r w:rsidR="00B305E1">
        <w:rPr>
          <w:rFonts w:ascii="Calibri" w:eastAsiaTheme="minorEastAsia" w:hAnsi="Calibri" w:cs="Calibri"/>
        </w:rPr>
        <w:t xml:space="preserve"> </w:t>
      </w:r>
      <w:r w:rsidR="003D3CB0">
        <w:rPr>
          <w:rFonts w:ascii="Calibri" w:eastAsiaTheme="minorEastAsia" w:hAnsi="Calibri" w:cs="Calibri"/>
        </w:rPr>
        <w:t xml:space="preserve"> </w:t>
      </w:r>
      <w:r w:rsidR="000338B1">
        <w:rPr>
          <w:rFonts w:ascii="Calibri" w:eastAsiaTheme="minorEastAsia" w:hAnsi="Calibri" w:cs="Calibri"/>
        </w:rPr>
        <w:t xml:space="preserve"> </w:t>
      </w:r>
    </w:p>
    <w:p w14:paraId="080F5E02" w14:textId="094AFFC5" w:rsidR="00D0706C" w:rsidRPr="006C6124" w:rsidRDefault="00D0706C" w:rsidP="00D0706C">
      <w:pPr>
        <w:ind w:right="51" w:hanging="10"/>
        <w:rPr>
          <w:rFonts w:ascii="Calibri" w:eastAsiaTheme="minorEastAsia" w:hAnsi="Calibri" w:cs="Calibri"/>
          <w:u w:val="single"/>
        </w:rPr>
      </w:pPr>
      <w:r w:rsidRPr="006C6124">
        <w:rPr>
          <w:rFonts w:ascii="Calibri" w:eastAsiaTheme="minorEastAsia" w:hAnsi="Calibri" w:cs="Calibri"/>
        </w:rPr>
        <w:t>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p>
    <w:p w14:paraId="307F86A0" w14:textId="77777777" w:rsidR="006C45DF" w:rsidRDefault="006C45DF" w:rsidP="00D0706C">
      <w:pPr>
        <w:ind w:right="51" w:hanging="10"/>
        <w:rPr>
          <w:rFonts w:ascii="Calibri" w:eastAsiaTheme="minorEastAsia" w:hAnsi="Calibri" w:cs="Calibri"/>
        </w:rPr>
      </w:pPr>
    </w:p>
    <w:p w14:paraId="32CC103D" w14:textId="01FA6A9A" w:rsidR="004845EC" w:rsidRDefault="00E36733" w:rsidP="00AC6484">
      <w:pPr>
        <w:ind w:right="51" w:hanging="10"/>
        <w:rPr>
          <w:rFonts w:ascii="Calibri" w:eastAsiaTheme="minorEastAsia" w:hAnsi="Calibri" w:cs="Calibri"/>
        </w:rPr>
      </w:pPr>
      <w:r>
        <w:rPr>
          <w:rFonts w:ascii="Calibri" w:eastAsiaTheme="minorEastAsia" w:hAnsi="Calibri" w:cs="Calibri"/>
        </w:rPr>
        <w:t xml:space="preserve">The </w:t>
      </w:r>
      <w:r w:rsidR="00237EAE">
        <w:rPr>
          <w:rFonts w:ascii="Calibri" w:eastAsiaTheme="minorEastAsia" w:hAnsi="Calibri" w:cs="Calibri"/>
        </w:rPr>
        <w:t xml:space="preserve">SRC-B </w:t>
      </w:r>
      <w:r w:rsidR="005A7182">
        <w:rPr>
          <w:rFonts w:ascii="Calibri" w:eastAsiaTheme="minorEastAsia" w:hAnsi="Calibri" w:cs="Calibri"/>
        </w:rPr>
        <w:t xml:space="preserve">develops and </w:t>
      </w:r>
      <w:r w:rsidR="00237EAE">
        <w:rPr>
          <w:rFonts w:ascii="Calibri" w:eastAsiaTheme="minorEastAsia" w:hAnsi="Calibri" w:cs="Calibri"/>
        </w:rPr>
        <w:t>follows a</w:t>
      </w:r>
      <w:r w:rsidR="005A7182">
        <w:rPr>
          <w:rFonts w:ascii="Calibri" w:eastAsiaTheme="minorEastAsia" w:hAnsi="Calibri" w:cs="Calibri"/>
        </w:rPr>
        <w:t xml:space="preserve"> </w:t>
      </w:r>
      <w:r w:rsidR="00D7483C">
        <w:rPr>
          <w:rFonts w:ascii="Calibri" w:eastAsiaTheme="minorEastAsia" w:hAnsi="Calibri" w:cs="Calibri"/>
        </w:rPr>
        <w:t xml:space="preserve">yearly </w:t>
      </w:r>
      <w:r w:rsidR="005A7182">
        <w:rPr>
          <w:rFonts w:ascii="Calibri" w:eastAsiaTheme="minorEastAsia" w:hAnsi="Calibri" w:cs="Calibri"/>
        </w:rPr>
        <w:t xml:space="preserve">workplan to </w:t>
      </w:r>
      <w:r w:rsidR="008E4484">
        <w:rPr>
          <w:rFonts w:ascii="Calibri" w:eastAsiaTheme="minorEastAsia" w:hAnsi="Calibri" w:cs="Calibri"/>
        </w:rPr>
        <w:t xml:space="preserve">ensure that </w:t>
      </w:r>
      <w:r w:rsidR="001351F9">
        <w:rPr>
          <w:rFonts w:ascii="Calibri" w:eastAsiaTheme="minorEastAsia" w:hAnsi="Calibri" w:cs="Calibri"/>
        </w:rPr>
        <w:t>it</w:t>
      </w:r>
      <w:r w:rsidR="00BA4BB5">
        <w:rPr>
          <w:rFonts w:ascii="Calibri" w:eastAsiaTheme="minorEastAsia" w:hAnsi="Calibri" w:cs="Calibri"/>
        </w:rPr>
        <w:t xml:space="preserve"> carries out all its dutie</w:t>
      </w:r>
      <w:r w:rsidR="00806BB1">
        <w:rPr>
          <w:rFonts w:ascii="Calibri" w:eastAsiaTheme="minorEastAsia" w:hAnsi="Calibri" w:cs="Calibri"/>
        </w:rPr>
        <w:t>s</w:t>
      </w:r>
      <w:r w:rsidR="00AC6484">
        <w:rPr>
          <w:rFonts w:ascii="Calibri" w:eastAsiaTheme="minorEastAsia" w:hAnsi="Calibri" w:cs="Calibri"/>
        </w:rPr>
        <w:t xml:space="preserve"> in a timely fashion. </w:t>
      </w:r>
      <w:r w:rsidR="009A2F85">
        <w:rPr>
          <w:rFonts w:ascii="Calibri" w:eastAsiaTheme="minorEastAsia" w:hAnsi="Calibri" w:cs="Calibri"/>
        </w:rPr>
        <w:t xml:space="preserve">The majority of </w:t>
      </w:r>
      <w:r w:rsidR="008F6114">
        <w:rPr>
          <w:rFonts w:ascii="Calibri" w:eastAsiaTheme="minorEastAsia" w:hAnsi="Calibri" w:cs="Calibri"/>
        </w:rPr>
        <w:t>workplan entries</w:t>
      </w:r>
      <w:r w:rsidR="009A2F85">
        <w:rPr>
          <w:rFonts w:ascii="Calibri" w:eastAsiaTheme="minorEastAsia" w:hAnsi="Calibri" w:cs="Calibri"/>
        </w:rPr>
        <w:t xml:space="preserve"> occur on an annual or </w:t>
      </w:r>
      <w:r w:rsidR="00D50967" w:rsidRPr="245A9996">
        <w:rPr>
          <w:rFonts w:ascii="Calibri" w:eastAsiaTheme="minorEastAsia" w:hAnsi="Calibri" w:cs="Calibri"/>
        </w:rPr>
        <w:t>semiannual</w:t>
      </w:r>
      <w:r w:rsidR="009A2F85">
        <w:rPr>
          <w:rFonts w:ascii="Calibri" w:eastAsiaTheme="minorEastAsia" w:hAnsi="Calibri" w:cs="Calibri"/>
        </w:rPr>
        <w:t xml:space="preserve"> basis</w:t>
      </w:r>
      <w:r w:rsidR="00D50967" w:rsidRPr="245A9996">
        <w:rPr>
          <w:rFonts w:ascii="Calibri" w:eastAsiaTheme="minorEastAsia" w:hAnsi="Calibri" w:cs="Calibri"/>
        </w:rPr>
        <w:t>;</w:t>
      </w:r>
      <w:r w:rsidR="009A2F85">
        <w:rPr>
          <w:rFonts w:ascii="Calibri" w:eastAsiaTheme="minorEastAsia" w:hAnsi="Calibri" w:cs="Calibri"/>
        </w:rPr>
        <w:t xml:space="preserve"> however</w:t>
      </w:r>
      <w:r w:rsidR="00D50967" w:rsidRPr="245A9996">
        <w:rPr>
          <w:rFonts w:ascii="Calibri" w:eastAsiaTheme="minorEastAsia" w:hAnsi="Calibri" w:cs="Calibri"/>
        </w:rPr>
        <w:t>,</w:t>
      </w:r>
      <w:r w:rsidR="009A2F85">
        <w:rPr>
          <w:rFonts w:ascii="Calibri" w:eastAsiaTheme="minorEastAsia" w:hAnsi="Calibri" w:cs="Calibri"/>
        </w:rPr>
        <w:t xml:space="preserve"> </w:t>
      </w:r>
      <w:r w:rsidR="00741D19">
        <w:rPr>
          <w:rFonts w:ascii="Calibri" w:eastAsiaTheme="minorEastAsia" w:hAnsi="Calibri" w:cs="Calibri"/>
        </w:rPr>
        <w:t xml:space="preserve">as </w:t>
      </w:r>
      <w:r w:rsidR="00FE702F">
        <w:rPr>
          <w:rFonts w:ascii="Calibri" w:eastAsiaTheme="minorEastAsia" w:hAnsi="Calibri" w:cs="Calibri"/>
        </w:rPr>
        <w:t xml:space="preserve">new </w:t>
      </w:r>
      <w:r w:rsidR="00374B79">
        <w:rPr>
          <w:rFonts w:ascii="Calibri" w:eastAsiaTheme="minorEastAsia" w:hAnsi="Calibri" w:cs="Calibri"/>
        </w:rPr>
        <w:t xml:space="preserve">recommendations </w:t>
      </w:r>
      <w:r w:rsidR="008A3AEE">
        <w:rPr>
          <w:rFonts w:ascii="Calibri" w:eastAsiaTheme="minorEastAsia" w:hAnsi="Calibri" w:cs="Calibri"/>
        </w:rPr>
        <w:t>from the</w:t>
      </w:r>
      <w:r w:rsidR="002336BB">
        <w:rPr>
          <w:rFonts w:ascii="Calibri" w:eastAsiaTheme="minorEastAsia" w:hAnsi="Calibri" w:cs="Calibri"/>
        </w:rPr>
        <w:t xml:space="preserve"> council </w:t>
      </w:r>
      <w:r w:rsidR="004D0AC2">
        <w:rPr>
          <w:rFonts w:ascii="Calibri" w:eastAsiaTheme="minorEastAsia" w:hAnsi="Calibri" w:cs="Calibri"/>
        </w:rPr>
        <w:t>are made</w:t>
      </w:r>
      <w:r w:rsidR="00127990">
        <w:rPr>
          <w:rFonts w:ascii="Calibri" w:eastAsiaTheme="minorEastAsia" w:hAnsi="Calibri" w:cs="Calibri"/>
        </w:rPr>
        <w:t>, th</w:t>
      </w:r>
      <w:r w:rsidR="004350F4">
        <w:rPr>
          <w:rFonts w:ascii="Calibri" w:eastAsiaTheme="minorEastAsia" w:hAnsi="Calibri" w:cs="Calibri"/>
        </w:rPr>
        <w:t xml:space="preserve">ey can be added. </w:t>
      </w:r>
    </w:p>
    <w:p w14:paraId="0E8A54A5" w14:textId="77777777" w:rsidR="00570F09" w:rsidRDefault="00570F09" w:rsidP="00AC6484">
      <w:pPr>
        <w:ind w:right="51" w:hanging="10"/>
        <w:rPr>
          <w:rFonts w:ascii="Calibri" w:eastAsiaTheme="minorEastAsia" w:hAnsi="Calibri" w:cs="Calibri"/>
        </w:rPr>
      </w:pPr>
    </w:p>
    <w:p w14:paraId="4FC60B00" w14:textId="1A6217ED" w:rsidR="0083601E" w:rsidRPr="00BB48CF" w:rsidRDefault="003B18FB" w:rsidP="45A5070E">
      <w:pPr>
        <w:spacing w:after="120"/>
        <w:ind w:right="58"/>
        <w:rPr>
          <w:rFonts w:ascii="Calibri" w:eastAsiaTheme="minorEastAsia" w:hAnsi="Calibri" w:cs="Calibri"/>
        </w:rPr>
      </w:pPr>
      <w:r w:rsidRPr="00171BE6">
        <w:rPr>
          <w:rFonts w:ascii="Calibri" w:eastAsiaTheme="minorEastAsia" w:hAnsi="Calibri" w:cs="Calibri"/>
        </w:rPr>
        <w:t xml:space="preserve">The SRC-B has a standing “Customer Satisfaction and Goals &amp; Priorities </w:t>
      </w:r>
      <w:r w:rsidR="002A19F0" w:rsidRPr="00171BE6">
        <w:rPr>
          <w:rFonts w:ascii="Calibri" w:eastAsiaTheme="minorEastAsia" w:hAnsi="Calibri" w:cs="Calibri"/>
        </w:rPr>
        <w:t>C</w:t>
      </w:r>
      <w:r w:rsidRPr="00171BE6">
        <w:rPr>
          <w:rFonts w:ascii="Calibri" w:eastAsiaTheme="minorEastAsia" w:hAnsi="Calibri" w:cs="Calibri"/>
        </w:rPr>
        <w:t>ommittee</w:t>
      </w:r>
      <w:r w:rsidR="00D50967" w:rsidRPr="19209DC3">
        <w:rPr>
          <w:rFonts w:ascii="Calibri" w:eastAsiaTheme="minorEastAsia" w:hAnsi="Calibri" w:cs="Calibri"/>
        </w:rPr>
        <w:t>,</w:t>
      </w:r>
      <w:r w:rsidRPr="19209DC3">
        <w:rPr>
          <w:rFonts w:ascii="Calibri" w:eastAsiaTheme="minorEastAsia" w:hAnsi="Calibri" w:cs="Calibri"/>
        </w:rPr>
        <w:t>”</w:t>
      </w:r>
      <w:r w:rsidRPr="00171BE6">
        <w:rPr>
          <w:rFonts w:ascii="Calibri" w:eastAsiaTheme="minorEastAsia" w:hAnsi="Calibri" w:cs="Calibri"/>
        </w:rPr>
        <w:t xml:space="preserve"> </w:t>
      </w:r>
      <w:r w:rsidR="0083601E" w:rsidRPr="00171BE6">
        <w:rPr>
          <w:rFonts w:ascii="Calibri" w:eastAsiaTheme="minorEastAsia" w:hAnsi="Calibri" w:cs="Calibri"/>
        </w:rPr>
        <w:t>which exists to carry out specific duties contained in federal regulations for the Vocational Rehabilitation (VR) program. These include</w:t>
      </w:r>
      <w:r w:rsidR="0CD320FB" w:rsidRPr="3D1C18A9">
        <w:rPr>
          <w:rFonts w:ascii="Calibri" w:eastAsiaTheme="minorEastAsia" w:hAnsi="Calibri" w:cs="Calibri"/>
        </w:rPr>
        <w:t xml:space="preserve"> c</w:t>
      </w:r>
      <w:r w:rsidR="0083601E" w:rsidRPr="3D1C18A9">
        <w:rPr>
          <w:rFonts w:ascii="Calibri" w:eastAsiaTheme="minorEastAsia" w:hAnsi="Calibri" w:cs="Calibri"/>
        </w:rPr>
        <w:t>onduct</w:t>
      </w:r>
      <w:r w:rsidR="00B36BAC" w:rsidRPr="3D1C18A9">
        <w:rPr>
          <w:rFonts w:ascii="Calibri" w:eastAsiaTheme="minorEastAsia" w:hAnsi="Calibri" w:cs="Calibri"/>
        </w:rPr>
        <w:t>ing</w:t>
      </w:r>
      <w:r w:rsidR="0083601E" w:rsidRPr="00BB48CF">
        <w:rPr>
          <w:rFonts w:ascii="Calibri" w:eastAsiaTheme="minorEastAsia" w:hAnsi="Calibri" w:cs="Calibri"/>
        </w:rPr>
        <w:t xml:space="preserve"> a review and an analysis of the effectiveness of</w:t>
      </w:r>
      <w:r w:rsidR="00AD63E0">
        <w:rPr>
          <w:rFonts w:ascii="Calibri" w:eastAsiaTheme="minorEastAsia" w:hAnsi="Calibri" w:cs="Calibri"/>
        </w:rPr>
        <w:t>,</w:t>
      </w:r>
      <w:r w:rsidR="0083601E" w:rsidRPr="00BB48CF">
        <w:rPr>
          <w:rFonts w:ascii="Calibri" w:eastAsiaTheme="minorEastAsia" w:hAnsi="Calibri" w:cs="Calibri"/>
        </w:rPr>
        <w:t xml:space="preserve"> and consumer satisfaction with</w:t>
      </w:r>
      <w:r w:rsidR="7B84DAC6" w:rsidRPr="3D1C18A9">
        <w:rPr>
          <w:rFonts w:ascii="Calibri" w:eastAsiaTheme="minorEastAsia" w:hAnsi="Calibri" w:cs="Calibri"/>
        </w:rPr>
        <w:t>:</w:t>
      </w:r>
    </w:p>
    <w:p w14:paraId="7B4AB03E" w14:textId="5A7A6973" w:rsidR="0083601E" w:rsidRPr="00BB48CF" w:rsidRDefault="007E4528" w:rsidP="45A5070E">
      <w:pPr>
        <w:pStyle w:val="ListParagraph"/>
        <w:numPr>
          <w:ilvl w:val="1"/>
          <w:numId w:val="57"/>
        </w:numPr>
        <w:spacing w:after="120"/>
        <w:ind w:right="58"/>
        <w:contextualSpacing w:val="0"/>
        <w:rPr>
          <w:rFonts w:ascii="Calibri" w:eastAsiaTheme="minorEastAsia" w:hAnsi="Calibri" w:cs="Calibri"/>
        </w:rPr>
      </w:pPr>
      <w:r>
        <w:rPr>
          <w:rFonts w:ascii="Calibri" w:eastAsiaTheme="minorEastAsia" w:hAnsi="Calibri" w:cs="Calibri"/>
        </w:rPr>
        <w:t>T</w:t>
      </w:r>
      <w:r w:rsidR="0083601E" w:rsidRPr="00BB48CF">
        <w:rPr>
          <w:rFonts w:ascii="Calibri" w:eastAsiaTheme="minorEastAsia" w:hAnsi="Calibri" w:cs="Calibri"/>
        </w:rPr>
        <w:t xml:space="preserve">he functions of the Department of Employment and Economic </w:t>
      </w:r>
      <w:r w:rsidR="00CF2DAA" w:rsidRPr="00BB48CF">
        <w:rPr>
          <w:rFonts w:ascii="Calibri" w:eastAsiaTheme="minorEastAsia" w:hAnsi="Calibri" w:cs="Calibri"/>
        </w:rPr>
        <w:t>Development.</w:t>
      </w:r>
      <w:r w:rsidR="0083601E" w:rsidRPr="00BB48CF">
        <w:rPr>
          <w:rFonts w:ascii="Calibri" w:eastAsiaTheme="minorEastAsia" w:hAnsi="Calibri" w:cs="Calibri"/>
        </w:rPr>
        <w:t xml:space="preserve"> </w:t>
      </w:r>
    </w:p>
    <w:p w14:paraId="74419C31" w14:textId="252C54D8" w:rsidR="00AD63E0" w:rsidRDefault="0083601E" w:rsidP="007E4528">
      <w:pPr>
        <w:numPr>
          <w:ilvl w:val="1"/>
          <w:numId w:val="57"/>
        </w:numPr>
        <w:spacing w:after="120"/>
        <w:ind w:left="720" w:right="58"/>
        <w:rPr>
          <w:rFonts w:ascii="Calibri" w:eastAsiaTheme="minorEastAsia" w:hAnsi="Calibri" w:cs="Calibri"/>
        </w:rPr>
      </w:pPr>
      <w:r w:rsidRPr="0083601E">
        <w:rPr>
          <w:rFonts w:ascii="Calibri" w:eastAsiaTheme="minorEastAsia" w:hAnsi="Calibri" w:cs="Calibri"/>
        </w:rPr>
        <w:t>Vocational Rehabilitation services provided within the state (except adjustment to blindness and technology services)</w:t>
      </w:r>
      <w:r w:rsidR="00CF2DAA">
        <w:rPr>
          <w:rFonts w:ascii="Calibri" w:eastAsiaTheme="minorEastAsia" w:hAnsi="Calibri" w:cs="Calibri"/>
        </w:rPr>
        <w:t>.</w:t>
      </w:r>
      <w:r w:rsidRPr="0083601E">
        <w:rPr>
          <w:rFonts w:ascii="Calibri" w:eastAsiaTheme="minorEastAsia" w:hAnsi="Calibri" w:cs="Calibri"/>
        </w:rPr>
        <w:t xml:space="preserve"> </w:t>
      </w:r>
    </w:p>
    <w:p w14:paraId="7B5834F4" w14:textId="2790ACCA" w:rsidR="0083601E" w:rsidRPr="0083601E" w:rsidRDefault="0083601E" w:rsidP="00092334">
      <w:pPr>
        <w:spacing w:after="120"/>
        <w:ind w:left="720" w:right="58"/>
        <w:rPr>
          <w:rFonts w:ascii="Calibri" w:eastAsiaTheme="minorEastAsia" w:hAnsi="Calibri" w:cs="Calibri"/>
        </w:rPr>
      </w:pPr>
      <w:r w:rsidRPr="0083601E">
        <w:rPr>
          <w:rFonts w:ascii="Calibri" w:eastAsiaTheme="minorEastAsia" w:hAnsi="Calibri" w:cs="Calibri"/>
        </w:rPr>
        <w:t xml:space="preserve">and </w:t>
      </w:r>
    </w:p>
    <w:p w14:paraId="01F46D5B" w14:textId="47AC2ED7" w:rsidR="0083601E" w:rsidRPr="0083601E" w:rsidRDefault="004F469A">
      <w:pPr>
        <w:numPr>
          <w:ilvl w:val="1"/>
          <w:numId w:val="57"/>
        </w:numPr>
        <w:ind w:left="360" w:right="51" w:firstLine="0"/>
        <w:rPr>
          <w:rFonts w:ascii="Calibri" w:eastAsiaTheme="minorEastAsia" w:hAnsi="Calibri" w:cs="Calibri"/>
        </w:rPr>
      </w:pPr>
      <w:r>
        <w:rPr>
          <w:rFonts w:ascii="Calibri" w:eastAsiaTheme="minorEastAsia" w:hAnsi="Calibri" w:cs="Calibri"/>
        </w:rPr>
        <w:t>E</w:t>
      </w:r>
      <w:r w:rsidRPr="0083601E">
        <w:rPr>
          <w:rFonts w:ascii="Calibri" w:eastAsiaTheme="minorEastAsia" w:hAnsi="Calibri" w:cs="Calibri"/>
        </w:rPr>
        <w:t xml:space="preserve">mployment </w:t>
      </w:r>
      <w:r w:rsidR="0083601E" w:rsidRPr="0083601E">
        <w:rPr>
          <w:rFonts w:ascii="Calibri" w:eastAsiaTheme="minorEastAsia" w:hAnsi="Calibri" w:cs="Calibri"/>
        </w:rPr>
        <w:t xml:space="preserve">outcomes of persons served </w:t>
      </w:r>
    </w:p>
    <w:p w14:paraId="1913E127" w14:textId="77777777" w:rsidR="0083601E" w:rsidRPr="0083601E" w:rsidRDefault="0083601E" w:rsidP="00D50CA9">
      <w:pPr>
        <w:ind w:right="51"/>
        <w:rPr>
          <w:rFonts w:ascii="Calibri" w:eastAsiaTheme="minorEastAsia" w:hAnsi="Calibri" w:cs="Calibri"/>
        </w:rPr>
      </w:pPr>
    </w:p>
    <w:p w14:paraId="14D91C67" w14:textId="631F72F7" w:rsidR="00505C48" w:rsidRDefault="0083601E" w:rsidP="00505C48">
      <w:pPr>
        <w:ind w:right="51" w:hanging="10"/>
        <w:rPr>
          <w:rFonts w:ascii="Calibri" w:eastAsiaTheme="minorEastAsia" w:hAnsi="Calibri" w:cs="Calibri"/>
        </w:rPr>
      </w:pPr>
      <w:r w:rsidRPr="00C714AA">
        <w:rPr>
          <w:rFonts w:ascii="Calibri" w:eastAsiaTheme="minorEastAsia" w:hAnsi="Calibri" w:cs="Calibri"/>
        </w:rPr>
        <w:t xml:space="preserve">In collaboration with SSB, </w:t>
      </w:r>
      <w:r w:rsidR="00AD436F">
        <w:rPr>
          <w:rFonts w:ascii="Calibri" w:eastAsiaTheme="minorEastAsia" w:hAnsi="Calibri" w:cs="Calibri"/>
        </w:rPr>
        <w:t xml:space="preserve">the committee </w:t>
      </w:r>
      <w:r w:rsidRPr="00C714AA">
        <w:rPr>
          <w:rFonts w:ascii="Calibri" w:eastAsiaTheme="minorEastAsia" w:hAnsi="Calibri" w:cs="Calibri"/>
        </w:rPr>
        <w:t>evaluate</w:t>
      </w:r>
      <w:r w:rsidR="00AD436F">
        <w:rPr>
          <w:rFonts w:ascii="Calibri" w:eastAsiaTheme="minorEastAsia" w:hAnsi="Calibri" w:cs="Calibri"/>
        </w:rPr>
        <w:t>s</w:t>
      </w:r>
      <w:r w:rsidRPr="00C714AA">
        <w:rPr>
          <w:rFonts w:ascii="Calibri" w:eastAsiaTheme="minorEastAsia" w:hAnsi="Calibri" w:cs="Calibri"/>
        </w:rPr>
        <w:t xml:space="preserve"> the extent to which SSB achieved its goals and priorities, strategies used, and factors that impeded success and performance on the federal Workforce Investment Opportunity Act (WIOA) Primary Indicators of Performance. </w:t>
      </w:r>
      <w:r w:rsidRPr="00A7733A">
        <w:rPr>
          <w:rFonts w:ascii="Calibri" w:eastAsiaTheme="minorEastAsia" w:hAnsi="Calibri" w:cs="Calibri"/>
        </w:rPr>
        <w:t>Jointly with other committees of the Council, and in partnership with SSB,</w:t>
      </w:r>
      <w:r w:rsidR="00C907EB">
        <w:rPr>
          <w:rFonts w:ascii="Calibri" w:eastAsiaTheme="minorEastAsia" w:hAnsi="Calibri" w:cs="Calibri"/>
        </w:rPr>
        <w:t xml:space="preserve"> it</w:t>
      </w:r>
      <w:r w:rsidRPr="00A7733A">
        <w:rPr>
          <w:rFonts w:ascii="Calibri" w:eastAsiaTheme="minorEastAsia" w:hAnsi="Calibri" w:cs="Calibri"/>
        </w:rPr>
        <w:t xml:space="preserve"> develop</w:t>
      </w:r>
      <w:r w:rsidR="00C907EB">
        <w:rPr>
          <w:rFonts w:ascii="Calibri" w:eastAsiaTheme="minorEastAsia" w:hAnsi="Calibri" w:cs="Calibri"/>
        </w:rPr>
        <w:t>s</w:t>
      </w:r>
      <w:r w:rsidRPr="00A7733A">
        <w:rPr>
          <w:rFonts w:ascii="Calibri" w:eastAsiaTheme="minorEastAsia" w:hAnsi="Calibri" w:cs="Calibri"/>
        </w:rPr>
        <w:t xml:space="preserve"> and, as necessary, revise</w:t>
      </w:r>
      <w:r w:rsidR="00637707">
        <w:rPr>
          <w:rFonts w:ascii="Calibri" w:eastAsiaTheme="minorEastAsia" w:hAnsi="Calibri" w:cs="Calibri"/>
        </w:rPr>
        <w:t>s</w:t>
      </w:r>
      <w:r w:rsidRPr="00A7733A">
        <w:rPr>
          <w:rFonts w:ascii="Calibri" w:eastAsiaTheme="minorEastAsia" w:hAnsi="Calibri" w:cs="Calibri"/>
        </w:rPr>
        <w:t xml:space="preserve"> a statement of goals and priorities. </w:t>
      </w:r>
      <w:r w:rsidR="00505C48">
        <w:rPr>
          <w:rFonts w:ascii="Calibri" w:eastAsiaTheme="minorEastAsia" w:hAnsi="Calibri" w:cs="Calibri"/>
        </w:rPr>
        <w:t>The committee reports quarterly to the full SRC-B</w:t>
      </w:r>
      <w:r w:rsidR="00013090">
        <w:rPr>
          <w:rFonts w:ascii="Calibri" w:eastAsiaTheme="minorEastAsia" w:hAnsi="Calibri" w:cs="Calibri"/>
        </w:rPr>
        <w:t xml:space="preserve"> and annually </w:t>
      </w:r>
      <w:r w:rsidR="000E007B">
        <w:rPr>
          <w:rFonts w:ascii="Calibri" w:eastAsiaTheme="minorEastAsia" w:hAnsi="Calibri" w:cs="Calibri"/>
        </w:rPr>
        <w:t xml:space="preserve">presents the </w:t>
      </w:r>
      <w:r w:rsidR="008A6AE3">
        <w:rPr>
          <w:rFonts w:ascii="Calibri" w:eastAsiaTheme="minorEastAsia" w:hAnsi="Calibri" w:cs="Calibri"/>
        </w:rPr>
        <w:t xml:space="preserve">VR Effectiveness Report </w:t>
      </w:r>
      <w:r w:rsidR="008B5672">
        <w:rPr>
          <w:rFonts w:ascii="Calibri" w:eastAsiaTheme="minorEastAsia" w:hAnsi="Calibri" w:cs="Calibri"/>
        </w:rPr>
        <w:t>to the SRC-B for review and approval</w:t>
      </w:r>
      <w:r w:rsidR="7F88E6C6" w:rsidRPr="7216E976">
        <w:rPr>
          <w:rFonts w:ascii="Calibri" w:eastAsiaTheme="minorEastAsia" w:hAnsi="Calibri" w:cs="Calibri"/>
        </w:rPr>
        <w:t>.</w:t>
      </w:r>
      <w:r w:rsidR="008B5672">
        <w:rPr>
          <w:rFonts w:ascii="Calibri" w:eastAsiaTheme="minorEastAsia" w:hAnsi="Calibri" w:cs="Calibri"/>
        </w:rPr>
        <w:t xml:space="preserve"> </w:t>
      </w:r>
      <w:r w:rsidR="00915A83">
        <w:rPr>
          <w:rFonts w:ascii="Calibri" w:eastAsiaTheme="minorEastAsia" w:hAnsi="Calibri" w:cs="Calibri"/>
        </w:rPr>
        <w:t>The VR Effectiveness Report contains</w:t>
      </w:r>
      <w:r w:rsidR="597589B3" w:rsidRPr="7216E976">
        <w:rPr>
          <w:rFonts w:ascii="Calibri" w:eastAsiaTheme="minorEastAsia" w:hAnsi="Calibri" w:cs="Calibri"/>
        </w:rPr>
        <w:t>:</w:t>
      </w:r>
      <w:r w:rsidR="00A7759C">
        <w:rPr>
          <w:rFonts w:ascii="Calibri" w:eastAsiaTheme="minorEastAsia" w:hAnsi="Calibri" w:cs="Calibri"/>
        </w:rPr>
        <w:t xml:space="preserve"> Part I</w:t>
      </w:r>
      <w:r w:rsidR="0095701A">
        <w:rPr>
          <w:rFonts w:ascii="Calibri" w:eastAsiaTheme="minorEastAsia" w:hAnsi="Calibri" w:cs="Calibri"/>
        </w:rPr>
        <w:t xml:space="preserve"> – State’s Performance Under the Performance Accountability </w:t>
      </w:r>
      <w:r w:rsidR="00917BC4">
        <w:rPr>
          <w:rFonts w:ascii="Calibri" w:eastAsiaTheme="minorEastAsia" w:hAnsi="Calibri" w:cs="Calibri"/>
        </w:rPr>
        <w:t>Measures</w:t>
      </w:r>
      <w:r w:rsidR="0095701A">
        <w:rPr>
          <w:rFonts w:ascii="Calibri" w:eastAsiaTheme="minorEastAsia" w:hAnsi="Calibri" w:cs="Calibri"/>
        </w:rPr>
        <w:t xml:space="preserve"> of Section 116 of WIOA</w:t>
      </w:r>
      <w:r w:rsidR="00917BC4">
        <w:rPr>
          <w:rFonts w:ascii="Calibri" w:eastAsiaTheme="minorEastAsia" w:hAnsi="Calibri" w:cs="Calibri"/>
        </w:rPr>
        <w:t xml:space="preserve">, Part II </w:t>
      </w:r>
      <w:r w:rsidR="006B7C07">
        <w:rPr>
          <w:rFonts w:ascii="Calibri" w:eastAsiaTheme="minorEastAsia" w:hAnsi="Calibri" w:cs="Calibri"/>
        </w:rPr>
        <w:t>–</w:t>
      </w:r>
      <w:r w:rsidR="00917BC4">
        <w:rPr>
          <w:rFonts w:ascii="Calibri" w:eastAsiaTheme="minorEastAsia" w:hAnsi="Calibri" w:cs="Calibri"/>
        </w:rPr>
        <w:t xml:space="preserve"> </w:t>
      </w:r>
      <w:r w:rsidR="006B7C07">
        <w:rPr>
          <w:rFonts w:ascii="Calibri" w:eastAsiaTheme="minorEastAsia" w:hAnsi="Calibri" w:cs="Calibri"/>
        </w:rPr>
        <w:t>Customer Satisfaction Survey Review</w:t>
      </w:r>
      <w:r w:rsidR="0015424E">
        <w:rPr>
          <w:rFonts w:ascii="Calibri" w:eastAsiaTheme="minorEastAsia" w:hAnsi="Calibri" w:cs="Calibri"/>
        </w:rPr>
        <w:t xml:space="preserve">, and Part II </w:t>
      </w:r>
      <w:r w:rsidR="008B6A1F">
        <w:rPr>
          <w:rFonts w:ascii="Calibri" w:eastAsiaTheme="minorEastAsia" w:hAnsi="Calibri" w:cs="Calibri"/>
        </w:rPr>
        <w:t>–</w:t>
      </w:r>
      <w:r w:rsidR="0015424E">
        <w:rPr>
          <w:rFonts w:ascii="Calibri" w:eastAsiaTheme="minorEastAsia" w:hAnsi="Calibri" w:cs="Calibri"/>
        </w:rPr>
        <w:t xml:space="preserve"> </w:t>
      </w:r>
      <w:r w:rsidR="008B6A1F">
        <w:rPr>
          <w:rFonts w:ascii="Calibri" w:eastAsiaTheme="minorEastAsia" w:hAnsi="Calibri" w:cs="Calibri"/>
        </w:rPr>
        <w:t>Review of Goals and Prioritie</w:t>
      </w:r>
      <w:r w:rsidR="008C50A6">
        <w:rPr>
          <w:rFonts w:ascii="Calibri" w:eastAsiaTheme="minorEastAsia" w:hAnsi="Calibri" w:cs="Calibri"/>
        </w:rPr>
        <w:t xml:space="preserve">s. </w:t>
      </w:r>
      <w:r w:rsidR="00B63D91">
        <w:rPr>
          <w:rFonts w:ascii="Calibri" w:eastAsiaTheme="minorEastAsia" w:hAnsi="Calibri" w:cs="Calibri"/>
        </w:rPr>
        <w:t xml:space="preserve">The </w:t>
      </w:r>
      <w:r w:rsidR="00C13EFB">
        <w:rPr>
          <w:rFonts w:ascii="Calibri" w:eastAsiaTheme="minorEastAsia" w:hAnsi="Calibri" w:cs="Calibri"/>
        </w:rPr>
        <w:t xml:space="preserve">committee includes the </w:t>
      </w:r>
      <w:r w:rsidR="00333AEF">
        <w:rPr>
          <w:rFonts w:ascii="Calibri" w:eastAsiaTheme="minorEastAsia" w:hAnsi="Calibri" w:cs="Calibri"/>
        </w:rPr>
        <w:t>VR Effectiveness Report in the Annual SRC-B report</w:t>
      </w:r>
      <w:r w:rsidR="007D525A">
        <w:rPr>
          <w:rFonts w:ascii="Calibri" w:eastAsiaTheme="minorEastAsia" w:hAnsi="Calibri" w:cs="Calibri"/>
        </w:rPr>
        <w:t>.</w:t>
      </w:r>
      <w:r w:rsidR="00333AEF">
        <w:rPr>
          <w:rFonts w:ascii="Calibri" w:eastAsiaTheme="minorEastAsia" w:hAnsi="Calibri" w:cs="Calibri"/>
        </w:rPr>
        <w:t xml:space="preserve"> </w:t>
      </w:r>
      <w:r w:rsidR="003921CE">
        <w:rPr>
          <w:rFonts w:ascii="Calibri" w:eastAsiaTheme="minorEastAsia" w:hAnsi="Calibri" w:cs="Calibri"/>
        </w:rPr>
        <w:t>The PY</w:t>
      </w:r>
      <w:r w:rsidR="00C50096">
        <w:rPr>
          <w:rFonts w:ascii="Calibri" w:eastAsiaTheme="minorEastAsia" w:hAnsi="Calibri" w:cs="Calibri"/>
        </w:rPr>
        <w:t>2</w:t>
      </w:r>
      <w:r w:rsidR="00CD44F6">
        <w:rPr>
          <w:rFonts w:ascii="Calibri" w:eastAsiaTheme="minorEastAsia" w:hAnsi="Calibri" w:cs="Calibri"/>
        </w:rPr>
        <w:t>3</w:t>
      </w:r>
      <w:r w:rsidR="00C50096">
        <w:rPr>
          <w:rFonts w:ascii="Calibri" w:eastAsiaTheme="minorEastAsia" w:hAnsi="Calibri" w:cs="Calibri"/>
        </w:rPr>
        <w:t xml:space="preserve"> </w:t>
      </w:r>
      <w:r w:rsidR="005340C9">
        <w:rPr>
          <w:rFonts w:ascii="Calibri" w:eastAsiaTheme="minorEastAsia" w:hAnsi="Calibri" w:cs="Calibri"/>
        </w:rPr>
        <w:t xml:space="preserve">VR Effectiveness Report and </w:t>
      </w:r>
      <w:r w:rsidR="006E7142">
        <w:rPr>
          <w:rFonts w:ascii="Calibri" w:eastAsiaTheme="minorEastAsia" w:hAnsi="Calibri" w:cs="Calibri"/>
        </w:rPr>
        <w:t xml:space="preserve">the </w:t>
      </w:r>
      <w:r w:rsidR="007420CD">
        <w:rPr>
          <w:rFonts w:ascii="Calibri" w:eastAsiaTheme="minorEastAsia" w:hAnsi="Calibri" w:cs="Calibri"/>
        </w:rPr>
        <w:t xml:space="preserve">Annual </w:t>
      </w:r>
      <w:r w:rsidR="00D317A4">
        <w:rPr>
          <w:rFonts w:ascii="Calibri" w:eastAsiaTheme="minorEastAsia" w:hAnsi="Calibri" w:cs="Calibri"/>
        </w:rPr>
        <w:t xml:space="preserve">SRC-B Report were presented to </w:t>
      </w:r>
      <w:r w:rsidR="00AA160D">
        <w:rPr>
          <w:rFonts w:ascii="Calibri" w:eastAsiaTheme="minorEastAsia" w:hAnsi="Calibri" w:cs="Calibri"/>
        </w:rPr>
        <w:t xml:space="preserve">the SRC-B </w:t>
      </w:r>
      <w:r w:rsidR="00E543AA">
        <w:rPr>
          <w:rFonts w:ascii="Calibri" w:eastAsiaTheme="minorEastAsia" w:hAnsi="Calibri" w:cs="Calibri"/>
        </w:rPr>
        <w:t xml:space="preserve">at the </w:t>
      </w:r>
      <w:r w:rsidR="009C73AF">
        <w:rPr>
          <w:rFonts w:ascii="Calibri" w:eastAsiaTheme="minorEastAsia" w:hAnsi="Calibri" w:cs="Calibri"/>
        </w:rPr>
        <w:t xml:space="preserve">December </w:t>
      </w:r>
      <w:r w:rsidR="00343F99">
        <w:rPr>
          <w:rFonts w:ascii="Calibri" w:eastAsiaTheme="minorEastAsia" w:hAnsi="Calibri" w:cs="Calibri"/>
        </w:rPr>
        <w:t>7</w:t>
      </w:r>
      <w:r w:rsidR="00EB05AD">
        <w:rPr>
          <w:rFonts w:ascii="Calibri" w:eastAsiaTheme="minorEastAsia" w:hAnsi="Calibri" w:cs="Calibri"/>
        </w:rPr>
        <w:t>, 202</w:t>
      </w:r>
      <w:r w:rsidR="00343F99">
        <w:rPr>
          <w:rFonts w:ascii="Calibri" w:eastAsiaTheme="minorEastAsia" w:hAnsi="Calibri" w:cs="Calibri"/>
        </w:rPr>
        <w:t>3</w:t>
      </w:r>
      <w:r w:rsidR="597589B3" w:rsidRPr="7216E976">
        <w:rPr>
          <w:rFonts w:ascii="Calibri" w:eastAsiaTheme="minorEastAsia" w:hAnsi="Calibri" w:cs="Calibri"/>
        </w:rPr>
        <w:t>,</w:t>
      </w:r>
      <w:r w:rsidR="00EB05AD">
        <w:rPr>
          <w:rFonts w:ascii="Calibri" w:eastAsiaTheme="minorEastAsia" w:hAnsi="Calibri" w:cs="Calibri"/>
        </w:rPr>
        <w:t xml:space="preserve"> meeting</w:t>
      </w:r>
      <w:r w:rsidR="32F0D4E9" w:rsidRPr="7216E976">
        <w:rPr>
          <w:rFonts w:ascii="Calibri" w:eastAsiaTheme="minorEastAsia" w:hAnsi="Calibri" w:cs="Calibri"/>
        </w:rPr>
        <w:t xml:space="preserve"> and</w:t>
      </w:r>
      <w:r w:rsidR="005B63E9">
        <w:rPr>
          <w:rFonts w:ascii="Calibri" w:eastAsiaTheme="minorEastAsia" w:hAnsi="Calibri" w:cs="Calibri"/>
        </w:rPr>
        <w:t xml:space="preserve"> </w:t>
      </w:r>
      <w:r w:rsidR="0001774F">
        <w:rPr>
          <w:rFonts w:ascii="Calibri" w:eastAsiaTheme="minorEastAsia" w:hAnsi="Calibri" w:cs="Calibri"/>
        </w:rPr>
        <w:t>is available</w:t>
      </w:r>
      <w:r w:rsidR="007957F2">
        <w:rPr>
          <w:rFonts w:ascii="Calibri" w:eastAsiaTheme="minorEastAsia" w:hAnsi="Calibri" w:cs="Calibri"/>
        </w:rPr>
        <w:t xml:space="preserve"> at </w:t>
      </w:r>
      <w:hyperlink r:id="rId8">
        <w:r w:rsidR="5C96A5B7" w:rsidRPr="7216E976">
          <w:rPr>
            <w:rStyle w:val="Hyperlink"/>
            <w:rFonts w:ascii="Calibri" w:eastAsiaTheme="minorEastAsia" w:hAnsi="Calibri" w:cs="Calibri"/>
          </w:rPr>
          <w:t>https://mn.gov/deed/ssb/involve/srcb/reports/index.jsp</w:t>
        </w:r>
      </w:hyperlink>
      <w:r w:rsidR="00451FEF">
        <w:rPr>
          <w:rFonts w:ascii="Calibri" w:eastAsiaTheme="minorEastAsia" w:hAnsi="Calibri" w:cs="Calibri"/>
        </w:rPr>
        <w:t>.</w:t>
      </w:r>
      <w:r w:rsidR="007957F2">
        <w:rPr>
          <w:rFonts w:ascii="Calibri" w:eastAsiaTheme="minorEastAsia" w:hAnsi="Calibri" w:cs="Calibri"/>
        </w:rPr>
        <w:t xml:space="preserve"> </w:t>
      </w:r>
    </w:p>
    <w:p w14:paraId="6DBB706F" w14:textId="68234813" w:rsidR="0083601E" w:rsidRPr="00A7733A" w:rsidRDefault="0083601E" w:rsidP="00A7733A">
      <w:pPr>
        <w:spacing w:after="120"/>
        <w:ind w:right="58"/>
        <w:rPr>
          <w:rFonts w:ascii="Calibri" w:eastAsiaTheme="minorEastAsia" w:hAnsi="Calibri" w:cs="Calibri"/>
        </w:rPr>
      </w:pPr>
    </w:p>
    <w:p w14:paraId="3C0F06AD" w14:textId="1F5A347D" w:rsidR="004845EC" w:rsidRDefault="00EA00E8" w:rsidP="00570F09">
      <w:pPr>
        <w:ind w:right="51"/>
        <w:rPr>
          <w:rFonts w:ascii="Calibri" w:eastAsiaTheme="minorEastAsia" w:hAnsi="Calibri" w:cs="Calibri"/>
        </w:rPr>
      </w:pPr>
      <w:r>
        <w:rPr>
          <w:rFonts w:ascii="Calibri" w:eastAsiaTheme="minorEastAsia" w:hAnsi="Calibri" w:cs="Calibri"/>
        </w:rPr>
        <w:t xml:space="preserve">A </w:t>
      </w:r>
      <w:r w:rsidR="004845EC">
        <w:rPr>
          <w:rFonts w:ascii="Calibri" w:eastAsiaTheme="minorEastAsia" w:hAnsi="Calibri" w:cs="Calibri"/>
        </w:rPr>
        <w:t>Budget Task Force</w:t>
      </w:r>
      <w:r w:rsidR="005E3755">
        <w:rPr>
          <w:rFonts w:ascii="Calibri" w:eastAsiaTheme="minorEastAsia" w:hAnsi="Calibri" w:cs="Calibri"/>
        </w:rPr>
        <w:t xml:space="preserve"> </w:t>
      </w:r>
      <w:r w:rsidR="00AD63E0">
        <w:rPr>
          <w:rFonts w:ascii="Calibri" w:eastAsiaTheme="minorEastAsia" w:hAnsi="Calibri" w:cs="Calibri"/>
        </w:rPr>
        <w:t>works annually</w:t>
      </w:r>
      <w:r w:rsidR="005E3755">
        <w:rPr>
          <w:rFonts w:ascii="Calibri" w:eastAsiaTheme="minorEastAsia" w:hAnsi="Calibri" w:cs="Calibri"/>
        </w:rPr>
        <w:t xml:space="preserve"> in </w:t>
      </w:r>
      <w:r w:rsidR="006A10B0">
        <w:rPr>
          <w:rFonts w:ascii="Calibri" w:eastAsiaTheme="minorEastAsia" w:hAnsi="Calibri" w:cs="Calibri"/>
        </w:rPr>
        <w:t>collaboration</w:t>
      </w:r>
      <w:r>
        <w:rPr>
          <w:rFonts w:ascii="Calibri" w:eastAsiaTheme="minorEastAsia" w:hAnsi="Calibri" w:cs="Calibri"/>
        </w:rPr>
        <w:t xml:space="preserve"> </w:t>
      </w:r>
      <w:r w:rsidR="005E3755">
        <w:rPr>
          <w:rFonts w:ascii="Calibri" w:eastAsiaTheme="minorEastAsia" w:hAnsi="Calibri" w:cs="Calibri"/>
        </w:rPr>
        <w:t>with SSB to</w:t>
      </w:r>
      <w:r w:rsidR="004845EC">
        <w:rPr>
          <w:rFonts w:ascii="Calibri" w:eastAsiaTheme="minorEastAsia" w:hAnsi="Calibri" w:cs="Calibri"/>
        </w:rPr>
        <w:t xml:space="preserve"> </w:t>
      </w:r>
      <w:r w:rsidR="00A47F36">
        <w:rPr>
          <w:rFonts w:ascii="Calibri" w:eastAsiaTheme="minorEastAsia" w:hAnsi="Calibri" w:cs="Calibri"/>
        </w:rPr>
        <w:t>propose</w:t>
      </w:r>
      <w:r w:rsidR="005E3755">
        <w:rPr>
          <w:rFonts w:ascii="Calibri" w:eastAsiaTheme="minorEastAsia" w:hAnsi="Calibri" w:cs="Calibri"/>
        </w:rPr>
        <w:t xml:space="preserve"> </w:t>
      </w:r>
      <w:r w:rsidR="004630CA">
        <w:rPr>
          <w:rFonts w:ascii="Calibri" w:eastAsiaTheme="minorEastAsia" w:hAnsi="Calibri" w:cs="Calibri"/>
        </w:rPr>
        <w:t xml:space="preserve">the </w:t>
      </w:r>
      <w:r w:rsidR="00382C53">
        <w:rPr>
          <w:rFonts w:ascii="Calibri" w:eastAsiaTheme="minorEastAsia" w:hAnsi="Calibri" w:cs="Calibri"/>
        </w:rPr>
        <w:t xml:space="preserve">SRC-B’s budget for </w:t>
      </w:r>
      <w:r w:rsidR="004630CA">
        <w:rPr>
          <w:rFonts w:ascii="Calibri" w:eastAsiaTheme="minorEastAsia" w:hAnsi="Calibri" w:cs="Calibri"/>
        </w:rPr>
        <w:t xml:space="preserve">next </w:t>
      </w:r>
      <w:r w:rsidR="006A10B0">
        <w:rPr>
          <w:rFonts w:ascii="Calibri" w:eastAsiaTheme="minorEastAsia" w:hAnsi="Calibri" w:cs="Calibri"/>
        </w:rPr>
        <w:t xml:space="preserve">federal </w:t>
      </w:r>
      <w:r w:rsidR="004630CA">
        <w:rPr>
          <w:rFonts w:ascii="Calibri" w:eastAsiaTheme="minorEastAsia" w:hAnsi="Calibri" w:cs="Calibri"/>
        </w:rPr>
        <w:t>fiscal year</w:t>
      </w:r>
      <w:r w:rsidR="006A10B0">
        <w:rPr>
          <w:rFonts w:ascii="Calibri" w:eastAsiaTheme="minorEastAsia" w:hAnsi="Calibri" w:cs="Calibri"/>
        </w:rPr>
        <w:t>.</w:t>
      </w:r>
      <w:r w:rsidR="005230C7">
        <w:rPr>
          <w:rFonts w:ascii="Calibri" w:eastAsiaTheme="minorEastAsia" w:hAnsi="Calibri" w:cs="Calibri"/>
        </w:rPr>
        <w:t xml:space="preserve"> </w:t>
      </w:r>
      <w:r w:rsidR="007A1AD6">
        <w:rPr>
          <w:rFonts w:ascii="Calibri" w:eastAsiaTheme="minorEastAsia" w:hAnsi="Calibri" w:cs="Calibri"/>
        </w:rPr>
        <w:t xml:space="preserve">SSB provides the </w:t>
      </w:r>
      <w:r w:rsidR="00180823" w:rsidRPr="2C2D4764">
        <w:rPr>
          <w:rFonts w:ascii="Calibri" w:eastAsiaTheme="minorEastAsia" w:hAnsi="Calibri" w:cs="Calibri"/>
        </w:rPr>
        <w:t>t</w:t>
      </w:r>
      <w:r w:rsidR="00C31D07" w:rsidRPr="2C2D4764">
        <w:rPr>
          <w:rFonts w:ascii="Calibri" w:eastAsiaTheme="minorEastAsia" w:hAnsi="Calibri" w:cs="Calibri"/>
        </w:rPr>
        <w:t xml:space="preserve">ask </w:t>
      </w:r>
      <w:r w:rsidR="00180823" w:rsidRPr="2C2D4764">
        <w:rPr>
          <w:rFonts w:ascii="Calibri" w:eastAsiaTheme="minorEastAsia" w:hAnsi="Calibri" w:cs="Calibri"/>
        </w:rPr>
        <w:t>f</w:t>
      </w:r>
      <w:r w:rsidR="00C31D07" w:rsidRPr="2C2D4764">
        <w:rPr>
          <w:rFonts w:ascii="Calibri" w:eastAsiaTheme="minorEastAsia" w:hAnsi="Calibri" w:cs="Calibri"/>
        </w:rPr>
        <w:t>orce</w:t>
      </w:r>
      <w:r w:rsidR="00C31D07">
        <w:rPr>
          <w:rFonts w:ascii="Calibri" w:eastAsiaTheme="minorEastAsia" w:hAnsi="Calibri" w:cs="Calibri"/>
        </w:rPr>
        <w:t xml:space="preserve"> with the </w:t>
      </w:r>
      <w:r w:rsidR="00A346AE">
        <w:rPr>
          <w:rFonts w:ascii="Calibri" w:eastAsiaTheme="minorEastAsia" w:hAnsi="Calibri" w:cs="Calibri"/>
        </w:rPr>
        <w:t xml:space="preserve">budget </w:t>
      </w:r>
      <w:r w:rsidR="005A23FF">
        <w:rPr>
          <w:rFonts w:ascii="Calibri" w:eastAsiaTheme="minorEastAsia" w:hAnsi="Calibri" w:cs="Calibri"/>
        </w:rPr>
        <w:t xml:space="preserve">expenditures </w:t>
      </w:r>
      <w:r w:rsidR="004A3991">
        <w:rPr>
          <w:rFonts w:ascii="Calibri" w:eastAsiaTheme="minorEastAsia" w:hAnsi="Calibri" w:cs="Calibri"/>
        </w:rPr>
        <w:t xml:space="preserve">so that determinations can be made. </w:t>
      </w:r>
      <w:r w:rsidR="00D745F2">
        <w:rPr>
          <w:rFonts w:ascii="Calibri" w:eastAsiaTheme="minorEastAsia" w:hAnsi="Calibri" w:cs="Calibri"/>
        </w:rPr>
        <w:t>T</w:t>
      </w:r>
      <w:r w:rsidR="00A7474A">
        <w:rPr>
          <w:rFonts w:ascii="Calibri" w:eastAsiaTheme="minorEastAsia" w:hAnsi="Calibri" w:cs="Calibri"/>
        </w:rPr>
        <w:t xml:space="preserve">he council’s budget for FFY24 was presented </w:t>
      </w:r>
      <w:r w:rsidR="00732C85">
        <w:rPr>
          <w:rFonts w:ascii="Calibri" w:eastAsiaTheme="minorEastAsia" w:hAnsi="Calibri" w:cs="Calibri"/>
        </w:rPr>
        <w:t>by the Budget Task Force</w:t>
      </w:r>
      <w:r w:rsidR="008600D7">
        <w:rPr>
          <w:rFonts w:ascii="Calibri" w:eastAsiaTheme="minorEastAsia" w:hAnsi="Calibri" w:cs="Calibri"/>
        </w:rPr>
        <w:t xml:space="preserve"> </w:t>
      </w:r>
      <w:r w:rsidR="00507C39">
        <w:rPr>
          <w:rFonts w:ascii="Calibri" w:eastAsiaTheme="minorEastAsia" w:hAnsi="Calibri" w:cs="Calibri"/>
        </w:rPr>
        <w:t xml:space="preserve">and approved at the </w:t>
      </w:r>
      <w:r w:rsidR="00810BDB">
        <w:rPr>
          <w:rFonts w:ascii="Calibri" w:eastAsiaTheme="minorEastAsia" w:hAnsi="Calibri" w:cs="Calibri"/>
        </w:rPr>
        <w:t>August 3, 2023</w:t>
      </w:r>
      <w:r w:rsidR="004F469A">
        <w:rPr>
          <w:rFonts w:ascii="Calibri" w:eastAsiaTheme="minorEastAsia" w:hAnsi="Calibri" w:cs="Calibri"/>
        </w:rPr>
        <w:t>,</w:t>
      </w:r>
      <w:r w:rsidR="00810BDB">
        <w:rPr>
          <w:rFonts w:ascii="Calibri" w:eastAsiaTheme="minorEastAsia" w:hAnsi="Calibri" w:cs="Calibri"/>
        </w:rPr>
        <w:t xml:space="preserve"> meeting. </w:t>
      </w:r>
      <w:r w:rsidR="006A10B0">
        <w:rPr>
          <w:rFonts w:ascii="Calibri" w:eastAsiaTheme="minorEastAsia" w:hAnsi="Calibri" w:cs="Calibri"/>
        </w:rPr>
        <w:t xml:space="preserve"> </w:t>
      </w:r>
      <w:r w:rsidR="004630CA">
        <w:rPr>
          <w:rFonts w:ascii="Calibri" w:eastAsiaTheme="minorEastAsia" w:hAnsi="Calibri" w:cs="Calibri"/>
        </w:rPr>
        <w:t xml:space="preserve"> </w:t>
      </w:r>
      <w:r w:rsidR="00A47F36">
        <w:rPr>
          <w:rFonts w:ascii="Calibri" w:eastAsiaTheme="minorEastAsia" w:hAnsi="Calibri" w:cs="Calibri"/>
        </w:rPr>
        <w:t xml:space="preserve"> </w:t>
      </w:r>
    </w:p>
    <w:p w14:paraId="33757E60" w14:textId="77777777" w:rsidR="0010074B" w:rsidRDefault="0010074B" w:rsidP="00570F09">
      <w:pPr>
        <w:ind w:right="51"/>
        <w:rPr>
          <w:rFonts w:ascii="Calibri" w:eastAsiaTheme="minorEastAsia" w:hAnsi="Calibri" w:cs="Calibri"/>
        </w:rPr>
      </w:pPr>
    </w:p>
    <w:p w14:paraId="2751CB9C" w14:textId="5C6757C0" w:rsidR="0010074B" w:rsidRDefault="00957674" w:rsidP="00570F09">
      <w:pPr>
        <w:ind w:right="51"/>
        <w:rPr>
          <w:rFonts w:ascii="Calibri" w:eastAsiaTheme="minorEastAsia" w:hAnsi="Calibri" w:cs="Calibri"/>
        </w:rPr>
      </w:pPr>
      <w:r>
        <w:rPr>
          <w:rFonts w:ascii="Calibri" w:eastAsiaTheme="minorEastAsia" w:hAnsi="Calibri" w:cs="Calibri"/>
        </w:rPr>
        <w:t xml:space="preserve">In an effort to increase </w:t>
      </w:r>
      <w:r w:rsidR="004919C5">
        <w:rPr>
          <w:rFonts w:ascii="Calibri" w:eastAsiaTheme="minorEastAsia" w:hAnsi="Calibri" w:cs="Calibri"/>
        </w:rPr>
        <w:t>diversity, equity, and inclusion, t</w:t>
      </w:r>
      <w:r w:rsidR="000316DF">
        <w:rPr>
          <w:rFonts w:ascii="Calibri" w:eastAsiaTheme="minorEastAsia" w:hAnsi="Calibri" w:cs="Calibri"/>
        </w:rPr>
        <w:t xml:space="preserve">he SRC-B </w:t>
      </w:r>
      <w:r w:rsidR="00B66E7B">
        <w:rPr>
          <w:rFonts w:ascii="Calibri" w:eastAsiaTheme="minorEastAsia" w:hAnsi="Calibri" w:cs="Calibri"/>
        </w:rPr>
        <w:t xml:space="preserve">developed a Task Force on Guest Speakers or Professional Development </w:t>
      </w:r>
      <w:r w:rsidR="00C36B90">
        <w:rPr>
          <w:rFonts w:ascii="Calibri" w:eastAsiaTheme="minorEastAsia" w:hAnsi="Calibri" w:cs="Calibri"/>
        </w:rPr>
        <w:t>with</w:t>
      </w:r>
      <w:r w:rsidR="004919C5">
        <w:rPr>
          <w:rFonts w:ascii="Calibri" w:eastAsiaTheme="minorEastAsia" w:hAnsi="Calibri" w:cs="Calibri"/>
        </w:rPr>
        <w:t xml:space="preserve"> the purpose of: </w:t>
      </w:r>
      <w:r w:rsidR="004B02AE">
        <w:rPr>
          <w:rFonts w:ascii="Calibri" w:eastAsiaTheme="minorEastAsia" w:hAnsi="Calibri" w:cs="Calibri"/>
        </w:rPr>
        <w:t xml:space="preserve"> adding to knowledge of how </w:t>
      </w:r>
      <w:r w:rsidR="008A4878">
        <w:rPr>
          <w:rFonts w:ascii="Calibri" w:eastAsiaTheme="minorEastAsia" w:hAnsi="Calibri" w:cs="Calibri"/>
        </w:rPr>
        <w:t>the council can</w:t>
      </w:r>
      <w:r w:rsidR="0055423F">
        <w:rPr>
          <w:rFonts w:ascii="Calibri" w:eastAsiaTheme="minorEastAsia" w:hAnsi="Calibri" w:cs="Calibri"/>
        </w:rPr>
        <w:t xml:space="preserve"> learn</w:t>
      </w:r>
      <w:r w:rsidR="0032765D">
        <w:rPr>
          <w:rFonts w:ascii="Calibri" w:eastAsiaTheme="minorEastAsia" w:hAnsi="Calibri" w:cs="Calibri"/>
        </w:rPr>
        <w:t xml:space="preserve"> more about</w:t>
      </w:r>
      <w:r w:rsidR="0055423F">
        <w:rPr>
          <w:rFonts w:ascii="Calibri" w:eastAsiaTheme="minorEastAsia" w:hAnsi="Calibri" w:cs="Calibri"/>
        </w:rPr>
        <w:t xml:space="preserve"> SSB</w:t>
      </w:r>
      <w:r w:rsidR="0032765D" w:rsidRPr="0032765D">
        <w:rPr>
          <w:rFonts w:ascii="Calibri" w:eastAsiaTheme="minorEastAsia" w:hAnsi="Calibri" w:cs="Calibri"/>
        </w:rPr>
        <w:t xml:space="preserve">; </w:t>
      </w:r>
      <w:r w:rsidR="0032765D" w:rsidRPr="2C2D4764">
        <w:rPr>
          <w:rFonts w:ascii="Calibri" w:eastAsiaTheme="minorEastAsia" w:hAnsi="Calibri" w:cs="Calibri"/>
        </w:rPr>
        <w:t>find</w:t>
      </w:r>
      <w:r w:rsidR="00180823" w:rsidRPr="2C2D4764">
        <w:rPr>
          <w:rFonts w:ascii="Calibri" w:eastAsiaTheme="minorEastAsia" w:hAnsi="Calibri" w:cs="Calibri"/>
        </w:rPr>
        <w:t>ing</w:t>
      </w:r>
      <w:r w:rsidR="0032765D" w:rsidRPr="0032765D">
        <w:rPr>
          <w:rFonts w:ascii="Calibri" w:eastAsiaTheme="minorEastAsia" w:hAnsi="Calibri" w:cs="Calibri"/>
        </w:rPr>
        <w:t xml:space="preserve"> community members representing Hmong, Hispanic, Somali, </w:t>
      </w:r>
      <w:r w:rsidR="00F12061">
        <w:rPr>
          <w:rFonts w:ascii="Calibri" w:eastAsiaTheme="minorEastAsia" w:hAnsi="Calibri" w:cs="Calibri"/>
        </w:rPr>
        <w:t xml:space="preserve">and </w:t>
      </w:r>
      <w:r w:rsidR="0032765D" w:rsidRPr="0032765D">
        <w:rPr>
          <w:rFonts w:ascii="Calibri" w:eastAsiaTheme="minorEastAsia" w:hAnsi="Calibri" w:cs="Calibri"/>
        </w:rPr>
        <w:t xml:space="preserve">Native American cultures; </w:t>
      </w:r>
      <w:r w:rsidR="00180823" w:rsidRPr="2C2D4764">
        <w:rPr>
          <w:rFonts w:ascii="Calibri" w:eastAsiaTheme="minorEastAsia" w:hAnsi="Calibri" w:cs="Calibri"/>
        </w:rPr>
        <w:t xml:space="preserve">and </w:t>
      </w:r>
      <w:r w:rsidR="0032765D" w:rsidRPr="2C2D4764">
        <w:rPr>
          <w:rFonts w:ascii="Calibri" w:eastAsiaTheme="minorEastAsia" w:hAnsi="Calibri" w:cs="Calibri"/>
        </w:rPr>
        <w:t>hear</w:t>
      </w:r>
      <w:r w:rsidR="00180823" w:rsidRPr="2C2D4764">
        <w:rPr>
          <w:rFonts w:ascii="Calibri" w:eastAsiaTheme="minorEastAsia" w:hAnsi="Calibri" w:cs="Calibri"/>
        </w:rPr>
        <w:t>ing</w:t>
      </w:r>
      <w:r w:rsidR="0032765D" w:rsidRPr="0032765D">
        <w:rPr>
          <w:rFonts w:ascii="Calibri" w:eastAsiaTheme="minorEastAsia" w:hAnsi="Calibri" w:cs="Calibri"/>
        </w:rPr>
        <w:t xml:space="preserve"> from medical professionals</w:t>
      </w:r>
      <w:r w:rsidR="00180823" w:rsidRPr="2C2D4764">
        <w:rPr>
          <w:rFonts w:ascii="Calibri" w:eastAsiaTheme="minorEastAsia" w:hAnsi="Calibri" w:cs="Calibri"/>
        </w:rPr>
        <w:t xml:space="preserve"> regarding </w:t>
      </w:r>
      <w:r w:rsidR="004D54F5" w:rsidRPr="2C2D4764">
        <w:rPr>
          <w:rFonts w:ascii="Calibri" w:eastAsiaTheme="minorEastAsia" w:hAnsi="Calibri" w:cs="Calibri"/>
        </w:rPr>
        <w:t>providing SSB information</w:t>
      </w:r>
      <w:r w:rsidR="0032765D" w:rsidRPr="0032765D">
        <w:rPr>
          <w:rFonts w:ascii="Calibri" w:eastAsiaTheme="minorEastAsia" w:hAnsi="Calibri" w:cs="Calibri"/>
        </w:rPr>
        <w:t xml:space="preserve"> to </w:t>
      </w:r>
      <w:r w:rsidR="004D54F5" w:rsidRPr="2C2D4764">
        <w:rPr>
          <w:rFonts w:ascii="Calibri" w:eastAsiaTheme="minorEastAsia" w:hAnsi="Calibri" w:cs="Calibri"/>
        </w:rPr>
        <w:t>individuals</w:t>
      </w:r>
      <w:r w:rsidR="0032765D" w:rsidRPr="0032765D">
        <w:rPr>
          <w:rFonts w:ascii="Calibri" w:eastAsiaTheme="minorEastAsia" w:hAnsi="Calibri" w:cs="Calibri"/>
        </w:rPr>
        <w:t xml:space="preserve"> with vision loss</w:t>
      </w:r>
      <w:r w:rsidR="0032765D" w:rsidRPr="2C2D4764">
        <w:rPr>
          <w:rFonts w:ascii="Calibri" w:eastAsiaTheme="minorEastAsia" w:hAnsi="Calibri" w:cs="Calibri"/>
        </w:rPr>
        <w:t>.</w:t>
      </w:r>
      <w:r w:rsidR="0032765D" w:rsidRPr="0032765D">
        <w:rPr>
          <w:rFonts w:ascii="Calibri" w:eastAsiaTheme="minorEastAsia" w:hAnsi="Calibri" w:cs="Calibri"/>
        </w:rPr>
        <w:t xml:space="preserve"> </w:t>
      </w:r>
      <w:r w:rsidR="00200C07">
        <w:rPr>
          <w:rFonts w:ascii="Calibri" w:eastAsiaTheme="minorEastAsia" w:hAnsi="Calibri" w:cs="Calibri"/>
        </w:rPr>
        <w:t xml:space="preserve">The </w:t>
      </w:r>
      <w:r w:rsidR="00424BD8">
        <w:rPr>
          <w:rFonts w:ascii="Calibri" w:eastAsiaTheme="minorEastAsia" w:hAnsi="Calibri" w:cs="Calibri"/>
        </w:rPr>
        <w:t xml:space="preserve">task force reported to the </w:t>
      </w:r>
      <w:r w:rsidR="00A24B60">
        <w:rPr>
          <w:rFonts w:ascii="Calibri" w:eastAsiaTheme="minorEastAsia" w:hAnsi="Calibri" w:cs="Calibri"/>
        </w:rPr>
        <w:t>council at the October 6, 2022</w:t>
      </w:r>
      <w:r w:rsidR="004D54F5" w:rsidRPr="2C2D4764">
        <w:rPr>
          <w:rFonts w:ascii="Calibri" w:eastAsiaTheme="minorEastAsia" w:hAnsi="Calibri" w:cs="Calibri"/>
        </w:rPr>
        <w:t>,</w:t>
      </w:r>
      <w:r w:rsidR="00A24B60">
        <w:rPr>
          <w:rFonts w:ascii="Calibri" w:eastAsiaTheme="minorEastAsia" w:hAnsi="Calibri" w:cs="Calibri"/>
        </w:rPr>
        <w:t xml:space="preserve"> meeting and recommended </w:t>
      </w:r>
      <w:r w:rsidR="00865C9A">
        <w:rPr>
          <w:rFonts w:ascii="Calibri" w:eastAsiaTheme="minorEastAsia" w:hAnsi="Calibri" w:cs="Calibri"/>
        </w:rPr>
        <w:t xml:space="preserve">that </w:t>
      </w:r>
      <w:r w:rsidR="00E6724C">
        <w:rPr>
          <w:rFonts w:ascii="Calibri" w:eastAsiaTheme="minorEastAsia" w:hAnsi="Calibri" w:cs="Calibri"/>
        </w:rPr>
        <w:t xml:space="preserve">this </w:t>
      </w:r>
      <w:r w:rsidR="00642270">
        <w:rPr>
          <w:rFonts w:ascii="Calibri" w:eastAsiaTheme="minorEastAsia" w:hAnsi="Calibri" w:cs="Calibri"/>
        </w:rPr>
        <w:t xml:space="preserve">group </w:t>
      </w:r>
      <w:r w:rsidR="00B377BD">
        <w:rPr>
          <w:rFonts w:ascii="Calibri" w:eastAsiaTheme="minorEastAsia" w:hAnsi="Calibri" w:cs="Calibri"/>
        </w:rPr>
        <w:t xml:space="preserve">continue meeting regularly </w:t>
      </w:r>
      <w:r w:rsidR="0058358B">
        <w:rPr>
          <w:rFonts w:ascii="Calibri" w:eastAsiaTheme="minorEastAsia" w:hAnsi="Calibri" w:cs="Calibri"/>
        </w:rPr>
        <w:t xml:space="preserve">and be </w:t>
      </w:r>
      <w:r w:rsidR="00812F0D">
        <w:rPr>
          <w:rFonts w:ascii="Calibri" w:eastAsiaTheme="minorEastAsia" w:hAnsi="Calibri" w:cs="Calibri"/>
        </w:rPr>
        <w:t xml:space="preserve">added to the annual work plan. </w:t>
      </w:r>
      <w:r w:rsidR="00B66E7B">
        <w:rPr>
          <w:rFonts w:ascii="Calibri" w:eastAsiaTheme="minorEastAsia" w:hAnsi="Calibri" w:cs="Calibri"/>
        </w:rPr>
        <w:t xml:space="preserve"> </w:t>
      </w:r>
    </w:p>
    <w:p w14:paraId="109D7F87" w14:textId="77777777" w:rsidR="00B47007" w:rsidRDefault="00B47007" w:rsidP="00D0706C">
      <w:pPr>
        <w:ind w:right="51" w:hanging="10"/>
        <w:rPr>
          <w:rFonts w:ascii="Calibri" w:eastAsiaTheme="minorEastAsia" w:hAnsi="Calibri" w:cs="Calibri"/>
        </w:rPr>
      </w:pPr>
    </w:p>
    <w:p w14:paraId="3AD779AB" w14:textId="0C97996A" w:rsidR="002A44C4" w:rsidRDefault="00791DA9" w:rsidP="00D0706C">
      <w:pPr>
        <w:ind w:right="51" w:hanging="10"/>
        <w:rPr>
          <w:rFonts w:ascii="Calibri" w:eastAsiaTheme="minorEastAsia" w:hAnsi="Calibri" w:cs="Calibri"/>
        </w:rPr>
      </w:pPr>
      <w:r>
        <w:rPr>
          <w:rFonts w:ascii="Calibri" w:eastAsiaTheme="minorEastAsia" w:hAnsi="Calibri" w:cs="Calibri"/>
        </w:rPr>
        <w:t xml:space="preserve">The </w:t>
      </w:r>
      <w:r w:rsidR="00005CA9">
        <w:rPr>
          <w:rFonts w:ascii="Calibri" w:eastAsiaTheme="minorEastAsia" w:hAnsi="Calibri" w:cs="Calibri"/>
        </w:rPr>
        <w:t xml:space="preserve">Committee Structure Task Force </w:t>
      </w:r>
      <w:r w:rsidR="00F12061">
        <w:rPr>
          <w:rFonts w:ascii="Calibri" w:eastAsiaTheme="minorEastAsia" w:hAnsi="Calibri" w:cs="Calibri"/>
        </w:rPr>
        <w:t>works annually</w:t>
      </w:r>
      <w:r w:rsidR="00931196">
        <w:rPr>
          <w:rFonts w:ascii="Calibri" w:eastAsiaTheme="minorEastAsia" w:hAnsi="Calibri" w:cs="Calibri"/>
        </w:rPr>
        <w:t xml:space="preserve"> </w:t>
      </w:r>
      <w:r w:rsidR="0056171F">
        <w:rPr>
          <w:rFonts w:ascii="Calibri" w:eastAsiaTheme="minorEastAsia" w:hAnsi="Calibri" w:cs="Calibri"/>
        </w:rPr>
        <w:t xml:space="preserve">in collaboration </w:t>
      </w:r>
      <w:r w:rsidR="00931196">
        <w:rPr>
          <w:rFonts w:ascii="Calibri" w:eastAsiaTheme="minorEastAsia" w:hAnsi="Calibri" w:cs="Calibri"/>
        </w:rPr>
        <w:t>with SSB</w:t>
      </w:r>
      <w:r w:rsidR="0056171F">
        <w:rPr>
          <w:rFonts w:ascii="Calibri" w:eastAsiaTheme="minorEastAsia" w:hAnsi="Calibri" w:cs="Calibri"/>
        </w:rPr>
        <w:t xml:space="preserve"> to review the </w:t>
      </w:r>
      <w:r w:rsidR="00025AC0">
        <w:rPr>
          <w:rFonts w:ascii="Calibri" w:eastAsiaTheme="minorEastAsia" w:hAnsi="Calibri" w:cs="Calibri"/>
        </w:rPr>
        <w:t xml:space="preserve">council </w:t>
      </w:r>
      <w:r w:rsidR="00407B97">
        <w:rPr>
          <w:rFonts w:ascii="Calibri" w:eastAsiaTheme="minorEastAsia" w:hAnsi="Calibri" w:cs="Calibri"/>
        </w:rPr>
        <w:t>committee</w:t>
      </w:r>
      <w:r w:rsidR="00025AC0">
        <w:rPr>
          <w:rFonts w:ascii="Calibri" w:eastAsiaTheme="minorEastAsia" w:hAnsi="Calibri" w:cs="Calibri"/>
        </w:rPr>
        <w:t xml:space="preserve"> charge</w:t>
      </w:r>
      <w:r w:rsidR="00090B7E">
        <w:rPr>
          <w:rFonts w:ascii="Calibri" w:eastAsiaTheme="minorEastAsia" w:hAnsi="Calibri" w:cs="Calibri"/>
        </w:rPr>
        <w:t xml:space="preserve"> and struct</w:t>
      </w:r>
      <w:r w:rsidR="009A368A">
        <w:rPr>
          <w:rFonts w:ascii="Calibri" w:eastAsiaTheme="minorEastAsia" w:hAnsi="Calibri" w:cs="Calibri"/>
        </w:rPr>
        <w:t xml:space="preserve">ure to </w:t>
      </w:r>
      <w:r w:rsidR="00632CE6">
        <w:rPr>
          <w:rFonts w:ascii="Calibri" w:eastAsiaTheme="minorEastAsia" w:hAnsi="Calibri" w:cs="Calibri"/>
        </w:rPr>
        <w:t xml:space="preserve">determine if </w:t>
      </w:r>
      <w:r w:rsidR="00754AF3">
        <w:rPr>
          <w:rFonts w:ascii="Calibri" w:eastAsiaTheme="minorEastAsia" w:hAnsi="Calibri" w:cs="Calibri"/>
        </w:rPr>
        <w:t xml:space="preserve">any changes are needed. </w:t>
      </w:r>
      <w:r w:rsidR="002A30DB">
        <w:rPr>
          <w:rFonts w:ascii="Calibri" w:eastAsiaTheme="minorEastAsia" w:hAnsi="Calibri" w:cs="Calibri"/>
        </w:rPr>
        <w:t>At the June 2, 2023</w:t>
      </w:r>
      <w:r w:rsidR="004D54F5" w:rsidRPr="2C2D4764">
        <w:rPr>
          <w:rFonts w:ascii="Calibri" w:eastAsiaTheme="minorEastAsia" w:hAnsi="Calibri" w:cs="Calibri"/>
        </w:rPr>
        <w:t>,</w:t>
      </w:r>
      <w:r w:rsidR="002A30DB">
        <w:rPr>
          <w:rFonts w:ascii="Calibri" w:eastAsiaTheme="minorEastAsia" w:hAnsi="Calibri" w:cs="Calibri"/>
        </w:rPr>
        <w:t xml:space="preserve"> meeting, the </w:t>
      </w:r>
      <w:r w:rsidR="00584FEA">
        <w:rPr>
          <w:rFonts w:ascii="Calibri" w:eastAsiaTheme="minorEastAsia" w:hAnsi="Calibri" w:cs="Calibri"/>
        </w:rPr>
        <w:t xml:space="preserve">task force presented </w:t>
      </w:r>
      <w:r w:rsidR="003003DF">
        <w:rPr>
          <w:rFonts w:ascii="Calibri" w:eastAsiaTheme="minorEastAsia" w:hAnsi="Calibri" w:cs="Calibri"/>
        </w:rPr>
        <w:t xml:space="preserve">their </w:t>
      </w:r>
      <w:r w:rsidR="003003DF">
        <w:rPr>
          <w:rFonts w:ascii="Calibri" w:eastAsiaTheme="minorEastAsia" w:hAnsi="Calibri" w:cs="Calibri"/>
        </w:rPr>
        <w:lastRenderedPageBreak/>
        <w:t xml:space="preserve">report recommending </w:t>
      </w:r>
      <w:r w:rsidR="00BE4B8B">
        <w:rPr>
          <w:rFonts w:ascii="Calibri" w:eastAsiaTheme="minorEastAsia" w:hAnsi="Calibri" w:cs="Calibri"/>
        </w:rPr>
        <w:t xml:space="preserve">the change </w:t>
      </w:r>
      <w:r w:rsidR="002A6D5B">
        <w:rPr>
          <w:rFonts w:ascii="Calibri" w:eastAsiaTheme="minorEastAsia" w:hAnsi="Calibri" w:cs="Calibri"/>
        </w:rPr>
        <w:t xml:space="preserve">in name of the </w:t>
      </w:r>
      <w:r w:rsidR="00512FD3">
        <w:rPr>
          <w:rFonts w:ascii="Calibri" w:eastAsiaTheme="minorEastAsia" w:hAnsi="Calibri" w:cs="Calibri"/>
        </w:rPr>
        <w:t>Minority Outreach Committee to Diversity, Equity &amp; Inclusion Committee</w:t>
      </w:r>
      <w:r w:rsidR="00B1128E">
        <w:rPr>
          <w:rFonts w:ascii="Calibri" w:eastAsiaTheme="minorEastAsia" w:hAnsi="Calibri" w:cs="Calibri"/>
        </w:rPr>
        <w:t xml:space="preserve">. </w:t>
      </w:r>
      <w:r w:rsidR="00707FCF">
        <w:rPr>
          <w:rFonts w:ascii="Calibri" w:eastAsiaTheme="minorEastAsia" w:hAnsi="Calibri" w:cs="Calibri"/>
        </w:rPr>
        <w:t xml:space="preserve">It was felt that </w:t>
      </w:r>
      <w:r w:rsidR="00094C80">
        <w:rPr>
          <w:rFonts w:ascii="Calibri" w:eastAsiaTheme="minorEastAsia" w:hAnsi="Calibri" w:cs="Calibri"/>
        </w:rPr>
        <w:t xml:space="preserve">the </w:t>
      </w:r>
      <w:r w:rsidR="004711AD">
        <w:rPr>
          <w:rFonts w:ascii="Calibri" w:eastAsiaTheme="minorEastAsia" w:hAnsi="Calibri" w:cs="Calibri"/>
        </w:rPr>
        <w:t xml:space="preserve">proposed name </w:t>
      </w:r>
      <w:r w:rsidR="00C14259">
        <w:rPr>
          <w:rFonts w:ascii="Calibri" w:eastAsiaTheme="minorEastAsia" w:hAnsi="Calibri" w:cs="Calibri"/>
        </w:rPr>
        <w:t xml:space="preserve">was more </w:t>
      </w:r>
      <w:r w:rsidR="00FD5906">
        <w:rPr>
          <w:rFonts w:ascii="Calibri" w:eastAsiaTheme="minorEastAsia" w:hAnsi="Calibri" w:cs="Calibri"/>
        </w:rPr>
        <w:t xml:space="preserve">encompassing </w:t>
      </w:r>
      <w:r w:rsidR="005E77F5">
        <w:rPr>
          <w:rFonts w:ascii="Calibri" w:eastAsiaTheme="minorEastAsia" w:hAnsi="Calibri" w:cs="Calibri"/>
        </w:rPr>
        <w:t xml:space="preserve">and positive. </w:t>
      </w:r>
      <w:r w:rsidR="00FE1DC6">
        <w:rPr>
          <w:rFonts w:ascii="Calibri" w:eastAsiaTheme="minorEastAsia" w:hAnsi="Calibri" w:cs="Calibri"/>
        </w:rPr>
        <w:t xml:space="preserve">The SRC-B </w:t>
      </w:r>
      <w:r w:rsidR="00580418">
        <w:rPr>
          <w:rFonts w:ascii="Calibri" w:eastAsiaTheme="minorEastAsia" w:hAnsi="Calibri" w:cs="Calibri"/>
        </w:rPr>
        <w:t xml:space="preserve">unanimously </w:t>
      </w:r>
      <w:r w:rsidR="00FE1DC6">
        <w:rPr>
          <w:rFonts w:ascii="Calibri" w:eastAsiaTheme="minorEastAsia" w:hAnsi="Calibri" w:cs="Calibri"/>
        </w:rPr>
        <w:t>approved the</w:t>
      </w:r>
      <w:r w:rsidR="00580418">
        <w:rPr>
          <w:rFonts w:ascii="Calibri" w:eastAsiaTheme="minorEastAsia" w:hAnsi="Calibri" w:cs="Calibri"/>
        </w:rPr>
        <w:t xml:space="preserve"> change. </w:t>
      </w:r>
      <w:r w:rsidR="00FE1DC6">
        <w:rPr>
          <w:rFonts w:ascii="Calibri" w:eastAsiaTheme="minorEastAsia" w:hAnsi="Calibri" w:cs="Calibri"/>
        </w:rPr>
        <w:t xml:space="preserve"> </w:t>
      </w:r>
    </w:p>
    <w:p w14:paraId="3CF8184B" w14:textId="77777777" w:rsidR="002A44C4" w:rsidRDefault="002A44C4" w:rsidP="00D0706C">
      <w:pPr>
        <w:ind w:right="51" w:hanging="10"/>
        <w:rPr>
          <w:rFonts w:ascii="Calibri" w:eastAsiaTheme="minorEastAsia" w:hAnsi="Calibri" w:cs="Calibri"/>
        </w:rPr>
      </w:pPr>
    </w:p>
    <w:p w14:paraId="79B43288" w14:textId="004ABE83" w:rsidR="002A44C4" w:rsidRDefault="004E4055" w:rsidP="00D0706C">
      <w:pPr>
        <w:ind w:right="51" w:hanging="10"/>
        <w:rPr>
          <w:rFonts w:ascii="Calibri" w:eastAsiaTheme="minorEastAsia" w:hAnsi="Calibri" w:cs="Calibri"/>
        </w:rPr>
      </w:pPr>
      <w:r>
        <w:rPr>
          <w:rFonts w:ascii="Calibri" w:eastAsiaTheme="minorEastAsia" w:hAnsi="Calibri" w:cs="Calibri"/>
        </w:rPr>
        <w:t xml:space="preserve">At the </w:t>
      </w:r>
      <w:r w:rsidR="00917EB9">
        <w:rPr>
          <w:rFonts w:ascii="Calibri" w:eastAsiaTheme="minorEastAsia" w:hAnsi="Calibri" w:cs="Calibri"/>
        </w:rPr>
        <w:t>June 2, 2023</w:t>
      </w:r>
      <w:r w:rsidR="004D54F5" w:rsidRPr="2C2D4764">
        <w:rPr>
          <w:rFonts w:ascii="Calibri" w:eastAsiaTheme="minorEastAsia" w:hAnsi="Calibri" w:cs="Calibri"/>
        </w:rPr>
        <w:t>,</w:t>
      </w:r>
      <w:r w:rsidR="00917EB9">
        <w:rPr>
          <w:rFonts w:ascii="Calibri" w:eastAsiaTheme="minorEastAsia" w:hAnsi="Calibri" w:cs="Calibri"/>
        </w:rPr>
        <w:t xml:space="preserve"> </w:t>
      </w:r>
      <w:r w:rsidR="00593EE1">
        <w:rPr>
          <w:rFonts w:ascii="Calibri" w:eastAsiaTheme="minorEastAsia" w:hAnsi="Calibri" w:cs="Calibri"/>
        </w:rPr>
        <w:t xml:space="preserve">meeting, </w:t>
      </w:r>
      <w:r w:rsidR="00FD6519">
        <w:rPr>
          <w:rFonts w:ascii="Calibri" w:eastAsiaTheme="minorEastAsia" w:hAnsi="Calibri" w:cs="Calibri"/>
        </w:rPr>
        <w:t xml:space="preserve">the SRC-B </w:t>
      </w:r>
      <w:r w:rsidR="000F6515">
        <w:rPr>
          <w:rFonts w:ascii="Calibri" w:eastAsiaTheme="minorEastAsia" w:hAnsi="Calibri" w:cs="Calibri"/>
        </w:rPr>
        <w:t>was presented</w:t>
      </w:r>
      <w:r w:rsidR="003E1425">
        <w:rPr>
          <w:rFonts w:ascii="Calibri" w:eastAsiaTheme="minorEastAsia" w:hAnsi="Calibri" w:cs="Calibri"/>
        </w:rPr>
        <w:t xml:space="preserve"> a report </w:t>
      </w:r>
      <w:r w:rsidR="00B46878">
        <w:rPr>
          <w:rFonts w:ascii="Calibri" w:eastAsiaTheme="minorEastAsia" w:hAnsi="Calibri" w:cs="Calibri"/>
        </w:rPr>
        <w:t>by</w:t>
      </w:r>
      <w:r w:rsidR="003E1425">
        <w:rPr>
          <w:rFonts w:ascii="Calibri" w:eastAsiaTheme="minorEastAsia" w:hAnsi="Calibri" w:cs="Calibri"/>
        </w:rPr>
        <w:t xml:space="preserve"> Jessica Burke, </w:t>
      </w:r>
      <w:r w:rsidR="0095187D">
        <w:rPr>
          <w:rFonts w:ascii="Calibri" w:eastAsiaTheme="minorEastAsia" w:hAnsi="Calibri" w:cs="Calibri"/>
        </w:rPr>
        <w:t xml:space="preserve">Consultant, </w:t>
      </w:r>
      <w:r w:rsidR="003E1425">
        <w:rPr>
          <w:rFonts w:ascii="Calibri" w:eastAsiaTheme="minorEastAsia" w:hAnsi="Calibri" w:cs="Calibri"/>
        </w:rPr>
        <w:t>Management Analysis &amp; Development (MAD)</w:t>
      </w:r>
      <w:r w:rsidR="0098330B">
        <w:rPr>
          <w:rFonts w:ascii="Calibri" w:eastAsiaTheme="minorEastAsia" w:hAnsi="Calibri" w:cs="Calibri"/>
        </w:rPr>
        <w:t xml:space="preserve">. </w:t>
      </w:r>
      <w:r w:rsidR="007448F9">
        <w:rPr>
          <w:rFonts w:ascii="Calibri" w:eastAsiaTheme="minorEastAsia" w:hAnsi="Calibri" w:cs="Calibri"/>
        </w:rPr>
        <w:t xml:space="preserve">SSB </w:t>
      </w:r>
      <w:r w:rsidR="00F917DF">
        <w:rPr>
          <w:rFonts w:ascii="Calibri" w:eastAsiaTheme="minorEastAsia" w:hAnsi="Calibri" w:cs="Calibri"/>
        </w:rPr>
        <w:t>contract</w:t>
      </w:r>
      <w:r w:rsidR="00D46B49">
        <w:rPr>
          <w:rFonts w:ascii="Calibri" w:eastAsiaTheme="minorEastAsia" w:hAnsi="Calibri" w:cs="Calibri"/>
        </w:rPr>
        <w:t>ed</w:t>
      </w:r>
      <w:r w:rsidR="00F917DF">
        <w:rPr>
          <w:rFonts w:ascii="Calibri" w:eastAsiaTheme="minorEastAsia" w:hAnsi="Calibri" w:cs="Calibri"/>
        </w:rPr>
        <w:t xml:space="preserve"> with MAD </w:t>
      </w:r>
      <w:r w:rsidR="00B82C4D">
        <w:rPr>
          <w:rFonts w:ascii="Calibri" w:eastAsiaTheme="minorEastAsia" w:hAnsi="Calibri" w:cs="Calibri"/>
        </w:rPr>
        <w:t xml:space="preserve">as internal independent consultants to identify barriers that customers </w:t>
      </w:r>
      <w:r w:rsidR="00394378">
        <w:rPr>
          <w:rFonts w:ascii="Calibri" w:eastAsiaTheme="minorEastAsia" w:hAnsi="Calibri" w:cs="Calibri"/>
        </w:rPr>
        <w:t xml:space="preserve">are facing and find ways to reduce or eliminate </w:t>
      </w:r>
      <w:r w:rsidR="00394378" w:rsidRPr="2C2D4764">
        <w:rPr>
          <w:rFonts w:ascii="Calibri" w:eastAsiaTheme="minorEastAsia" w:hAnsi="Calibri" w:cs="Calibri"/>
        </w:rPr>
        <w:t>th</w:t>
      </w:r>
      <w:r w:rsidR="004D54F5" w:rsidRPr="2C2D4764">
        <w:rPr>
          <w:rFonts w:ascii="Calibri" w:eastAsiaTheme="minorEastAsia" w:hAnsi="Calibri" w:cs="Calibri"/>
        </w:rPr>
        <w:t>ose barriers</w:t>
      </w:r>
      <w:r w:rsidR="00394378" w:rsidRPr="2C2D4764">
        <w:rPr>
          <w:rFonts w:ascii="Calibri" w:eastAsiaTheme="minorEastAsia" w:hAnsi="Calibri" w:cs="Calibri"/>
        </w:rPr>
        <w:t>.</w:t>
      </w:r>
      <w:r w:rsidR="00394378">
        <w:rPr>
          <w:rFonts w:ascii="Calibri" w:eastAsiaTheme="minorEastAsia" w:hAnsi="Calibri" w:cs="Calibri"/>
        </w:rPr>
        <w:t xml:space="preserve"> </w:t>
      </w:r>
      <w:r w:rsidR="008F748B">
        <w:rPr>
          <w:rFonts w:ascii="Calibri" w:eastAsiaTheme="minorEastAsia" w:hAnsi="Calibri" w:cs="Calibri"/>
        </w:rPr>
        <w:t xml:space="preserve"> </w:t>
      </w:r>
      <w:r w:rsidR="00D154C3">
        <w:rPr>
          <w:rFonts w:ascii="Calibri" w:eastAsiaTheme="minorEastAsia" w:hAnsi="Calibri" w:cs="Calibri"/>
        </w:rPr>
        <w:t xml:space="preserve">The council </w:t>
      </w:r>
      <w:r w:rsidR="00180CCF">
        <w:rPr>
          <w:rFonts w:ascii="Calibri" w:eastAsiaTheme="minorEastAsia" w:hAnsi="Calibri" w:cs="Calibri"/>
        </w:rPr>
        <w:t>expressed their co</w:t>
      </w:r>
      <w:r w:rsidR="00F40578">
        <w:rPr>
          <w:rFonts w:ascii="Calibri" w:eastAsiaTheme="minorEastAsia" w:hAnsi="Calibri" w:cs="Calibri"/>
        </w:rPr>
        <w:t>n</w:t>
      </w:r>
      <w:r w:rsidR="00783984">
        <w:rPr>
          <w:rFonts w:ascii="Calibri" w:eastAsiaTheme="minorEastAsia" w:hAnsi="Calibri" w:cs="Calibri"/>
        </w:rPr>
        <w:t>cern</w:t>
      </w:r>
      <w:r w:rsidR="00C954EA">
        <w:rPr>
          <w:rFonts w:ascii="Calibri" w:eastAsiaTheme="minorEastAsia" w:hAnsi="Calibri" w:cs="Calibri"/>
        </w:rPr>
        <w:t>s with the report</w:t>
      </w:r>
      <w:r w:rsidR="002F2811">
        <w:rPr>
          <w:rFonts w:ascii="Calibri" w:eastAsiaTheme="minorEastAsia" w:hAnsi="Calibri" w:cs="Calibri"/>
        </w:rPr>
        <w:t xml:space="preserve">, specifically </w:t>
      </w:r>
      <w:r w:rsidR="0035109B">
        <w:rPr>
          <w:rFonts w:ascii="Calibri" w:eastAsiaTheme="minorEastAsia" w:hAnsi="Calibri" w:cs="Calibri"/>
        </w:rPr>
        <w:t xml:space="preserve">with the lack of </w:t>
      </w:r>
      <w:r w:rsidR="00DB7DD4">
        <w:rPr>
          <w:rFonts w:ascii="Calibri" w:eastAsiaTheme="minorEastAsia" w:hAnsi="Calibri" w:cs="Calibri"/>
        </w:rPr>
        <w:t xml:space="preserve">effort </w:t>
      </w:r>
      <w:r w:rsidR="001D7DF1">
        <w:rPr>
          <w:rFonts w:ascii="Calibri" w:eastAsiaTheme="minorEastAsia" w:hAnsi="Calibri" w:cs="Calibri"/>
        </w:rPr>
        <w:t xml:space="preserve">to </w:t>
      </w:r>
      <w:r w:rsidR="007E704F">
        <w:rPr>
          <w:rFonts w:ascii="Calibri" w:eastAsiaTheme="minorEastAsia" w:hAnsi="Calibri" w:cs="Calibri"/>
        </w:rPr>
        <w:t xml:space="preserve">reach </w:t>
      </w:r>
      <w:r w:rsidR="002279E3">
        <w:rPr>
          <w:rFonts w:ascii="Calibri" w:eastAsiaTheme="minorEastAsia" w:hAnsi="Calibri" w:cs="Calibri"/>
        </w:rPr>
        <w:t xml:space="preserve">survey participants, </w:t>
      </w:r>
      <w:r w:rsidR="006209E1">
        <w:rPr>
          <w:rFonts w:ascii="Calibri" w:eastAsiaTheme="minorEastAsia" w:hAnsi="Calibri" w:cs="Calibri"/>
        </w:rPr>
        <w:t xml:space="preserve">and </w:t>
      </w:r>
      <w:r w:rsidR="00A6361E">
        <w:rPr>
          <w:rFonts w:ascii="Calibri" w:eastAsiaTheme="minorEastAsia" w:hAnsi="Calibri" w:cs="Calibri"/>
        </w:rPr>
        <w:t>lack</w:t>
      </w:r>
      <w:r w:rsidR="004603D6">
        <w:rPr>
          <w:rFonts w:ascii="Calibri" w:eastAsiaTheme="minorEastAsia" w:hAnsi="Calibri" w:cs="Calibri"/>
        </w:rPr>
        <w:t xml:space="preserve"> of accessibility</w:t>
      </w:r>
      <w:r w:rsidR="00EF7432">
        <w:rPr>
          <w:rFonts w:ascii="Calibri" w:eastAsiaTheme="minorEastAsia" w:hAnsi="Calibri" w:cs="Calibri"/>
        </w:rPr>
        <w:t xml:space="preserve"> in communication. </w:t>
      </w:r>
      <w:r w:rsidR="003D4DA3">
        <w:rPr>
          <w:rFonts w:ascii="Calibri" w:eastAsiaTheme="minorEastAsia" w:hAnsi="Calibri" w:cs="Calibri"/>
        </w:rPr>
        <w:t>As result</w:t>
      </w:r>
      <w:r w:rsidR="00B9738C">
        <w:rPr>
          <w:rFonts w:ascii="Calibri" w:eastAsiaTheme="minorEastAsia" w:hAnsi="Calibri" w:cs="Calibri"/>
        </w:rPr>
        <w:t xml:space="preserve">, </w:t>
      </w:r>
      <w:r w:rsidR="000460F2">
        <w:rPr>
          <w:rFonts w:ascii="Calibri" w:eastAsiaTheme="minorEastAsia" w:hAnsi="Calibri" w:cs="Calibri"/>
        </w:rPr>
        <w:t>at the August 3, 2023</w:t>
      </w:r>
      <w:r w:rsidR="004D54F5" w:rsidRPr="2C2D4764">
        <w:rPr>
          <w:rFonts w:ascii="Calibri" w:eastAsiaTheme="minorEastAsia" w:hAnsi="Calibri" w:cs="Calibri"/>
        </w:rPr>
        <w:t>,</w:t>
      </w:r>
      <w:r w:rsidR="000460F2">
        <w:rPr>
          <w:rFonts w:ascii="Calibri" w:eastAsiaTheme="minorEastAsia" w:hAnsi="Calibri" w:cs="Calibri"/>
        </w:rPr>
        <w:t xml:space="preserve"> meeting</w:t>
      </w:r>
      <w:r w:rsidR="001D17F0">
        <w:rPr>
          <w:rFonts w:ascii="Calibri" w:eastAsiaTheme="minorEastAsia" w:hAnsi="Calibri" w:cs="Calibri"/>
        </w:rPr>
        <w:t>,</w:t>
      </w:r>
      <w:r w:rsidR="000460F2">
        <w:rPr>
          <w:rFonts w:ascii="Calibri" w:eastAsiaTheme="minorEastAsia" w:hAnsi="Calibri" w:cs="Calibri"/>
        </w:rPr>
        <w:t xml:space="preserve"> </w:t>
      </w:r>
      <w:r w:rsidR="00266101">
        <w:rPr>
          <w:rFonts w:ascii="Calibri" w:eastAsiaTheme="minorEastAsia" w:hAnsi="Calibri" w:cs="Calibri"/>
        </w:rPr>
        <w:t>the council</w:t>
      </w:r>
      <w:r w:rsidR="00382B19">
        <w:rPr>
          <w:rFonts w:ascii="Calibri" w:eastAsiaTheme="minorEastAsia" w:hAnsi="Calibri" w:cs="Calibri"/>
        </w:rPr>
        <w:t xml:space="preserve"> unanimously voted to send</w:t>
      </w:r>
      <w:r w:rsidR="006039AF">
        <w:rPr>
          <w:rFonts w:ascii="Calibri" w:eastAsiaTheme="minorEastAsia" w:hAnsi="Calibri" w:cs="Calibri"/>
        </w:rPr>
        <w:t xml:space="preserve"> </w:t>
      </w:r>
      <w:r w:rsidR="00526A5A">
        <w:rPr>
          <w:rFonts w:ascii="Calibri" w:eastAsiaTheme="minorEastAsia" w:hAnsi="Calibri" w:cs="Calibri"/>
        </w:rPr>
        <w:t xml:space="preserve">the </w:t>
      </w:r>
      <w:r w:rsidR="00526A5A" w:rsidRPr="00B6028F">
        <w:rPr>
          <w:rFonts w:ascii="Calibri" w:eastAsiaTheme="minorEastAsia" w:hAnsi="Calibri" w:cs="Calibri"/>
          <w:i/>
          <w:iCs/>
        </w:rPr>
        <w:t>Recommendations for Improving DEI Practices Within Minnesota State Services for the Blind</w:t>
      </w:r>
      <w:r w:rsidR="001D17F0">
        <w:rPr>
          <w:rFonts w:ascii="Calibri" w:eastAsiaTheme="minorEastAsia" w:hAnsi="Calibri" w:cs="Calibri"/>
          <w:i/>
          <w:iCs/>
        </w:rPr>
        <w:t>,</w:t>
      </w:r>
      <w:r w:rsidR="00526A5A">
        <w:rPr>
          <w:rFonts w:ascii="Calibri" w:eastAsiaTheme="minorEastAsia" w:hAnsi="Calibri" w:cs="Calibri"/>
        </w:rPr>
        <w:t xml:space="preserve"> </w:t>
      </w:r>
      <w:r w:rsidR="00212303">
        <w:rPr>
          <w:rFonts w:ascii="Calibri" w:eastAsiaTheme="minorEastAsia" w:hAnsi="Calibri" w:cs="Calibri"/>
        </w:rPr>
        <w:t xml:space="preserve">presented by the </w:t>
      </w:r>
      <w:r w:rsidR="006039AF">
        <w:rPr>
          <w:rFonts w:ascii="Calibri" w:eastAsiaTheme="minorEastAsia" w:hAnsi="Calibri" w:cs="Calibri"/>
        </w:rPr>
        <w:t>Diversity, Equity, and Inclusion Committee</w:t>
      </w:r>
      <w:r w:rsidR="001D17F0">
        <w:rPr>
          <w:rFonts w:ascii="Calibri" w:eastAsiaTheme="minorEastAsia" w:hAnsi="Calibri" w:cs="Calibri"/>
        </w:rPr>
        <w:t>,</w:t>
      </w:r>
      <w:r w:rsidR="006039AF">
        <w:rPr>
          <w:rFonts w:ascii="Calibri" w:eastAsiaTheme="minorEastAsia" w:hAnsi="Calibri" w:cs="Calibri"/>
        </w:rPr>
        <w:t xml:space="preserve"> </w:t>
      </w:r>
      <w:r w:rsidR="00797C12">
        <w:rPr>
          <w:rFonts w:ascii="Calibri" w:eastAsiaTheme="minorEastAsia" w:hAnsi="Calibri" w:cs="Calibri"/>
        </w:rPr>
        <w:t>to Jessica Burke</w:t>
      </w:r>
      <w:r w:rsidR="00F937E6">
        <w:rPr>
          <w:rFonts w:ascii="Calibri" w:eastAsiaTheme="minorEastAsia" w:hAnsi="Calibri" w:cs="Calibri"/>
        </w:rPr>
        <w:t xml:space="preserve">. </w:t>
      </w:r>
      <w:r w:rsidR="00B9738C">
        <w:rPr>
          <w:rFonts w:ascii="Calibri" w:eastAsiaTheme="minorEastAsia" w:hAnsi="Calibri" w:cs="Calibri"/>
        </w:rPr>
        <w:t xml:space="preserve"> </w:t>
      </w:r>
    </w:p>
    <w:p w14:paraId="17FFE2B4" w14:textId="77777777" w:rsidR="007E704F" w:rsidRDefault="007E704F" w:rsidP="00D0706C">
      <w:pPr>
        <w:ind w:right="51" w:hanging="10"/>
        <w:rPr>
          <w:rFonts w:ascii="Calibri" w:eastAsiaTheme="minorEastAsia" w:hAnsi="Calibri" w:cs="Calibri"/>
        </w:rPr>
      </w:pPr>
    </w:p>
    <w:p w14:paraId="3B27A5E9" w14:textId="08BCA43E" w:rsidR="00023C60" w:rsidRDefault="00631CA4" w:rsidP="001D17F0">
      <w:pPr>
        <w:ind w:right="51"/>
        <w:rPr>
          <w:rFonts w:ascii="Calibri" w:eastAsiaTheme="minorEastAsia" w:hAnsi="Calibri" w:cs="Calibri"/>
        </w:rPr>
      </w:pPr>
      <w:r>
        <w:rPr>
          <w:rFonts w:ascii="Calibri" w:eastAsiaTheme="minorEastAsia" w:hAnsi="Calibri" w:cs="Calibri"/>
        </w:rPr>
        <w:t>A brief public hearing was held at the August 3, 2023</w:t>
      </w:r>
      <w:r w:rsidR="004D54F5" w:rsidRPr="2C2D4764">
        <w:rPr>
          <w:rFonts w:ascii="Calibri" w:eastAsiaTheme="minorEastAsia" w:hAnsi="Calibri" w:cs="Calibri"/>
        </w:rPr>
        <w:t>,</w:t>
      </w:r>
      <w:r>
        <w:rPr>
          <w:rFonts w:ascii="Calibri" w:eastAsiaTheme="minorEastAsia" w:hAnsi="Calibri" w:cs="Calibri"/>
        </w:rPr>
        <w:t xml:space="preserve"> </w:t>
      </w:r>
      <w:r w:rsidR="00AC2F5C">
        <w:rPr>
          <w:rFonts w:ascii="Calibri" w:eastAsiaTheme="minorEastAsia" w:hAnsi="Calibri" w:cs="Calibri"/>
        </w:rPr>
        <w:t xml:space="preserve">meeting </w:t>
      </w:r>
      <w:r w:rsidR="00207B88">
        <w:rPr>
          <w:rFonts w:ascii="Calibri" w:eastAsiaTheme="minorEastAsia" w:hAnsi="Calibri" w:cs="Calibri"/>
        </w:rPr>
        <w:t xml:space="preserve">regarding </w:t>
      </w:r>
      <w:r w:rsidR="00763A91">
        <w:rPr>
          <w:rFonts w:ascii="Calibri" w:eastAsiaTheme="minorEastAsia" w:hAnsi="Calibri" w:cs="Calibri"/>
        </w:rPr>
        <w:t>the order</w:t>
      </w:r>
      <w:r w:rsidR="002078B8" w:rsidRPr="2C2D4764">
        <w:rPr>
          <w:rFonts w:ascii="Calibri" w:eastAsiaTheme="minorEastAsia" w:hAnsi="Calibri" w:cs="Calibri"/>
        </w:rPr>
        <w:t xml:space="preserve"> </w:t>
      </w:r>
      <w:r w:rsidR="00763A91">
        <w:rPr>
          <w:rFonts w:ascii="Calibri" w:eastAsiaTheme="minorEastAsia" w:hAnsi="Calibri" w:cs="Calibri"/>
        </w:rPr>
        <w:t>of</w:t>
      </w:r>
      <w:r w:rsidR="002078B8" w:rsidRPr="2C2D4764">
        <w:rPr>
          <w:rFonts w:ascii="Calibri" w:eastAsiaTheme="minorEastAsia" w:hAnsi="Calibri" w:cs="Calibri"/>
        </w:rPr>
        <w:t xml:space="preserve"> </w:t>
      </w:r>
      <w:r w:rsidR="00763A91">
        <w:rPr>
          <w:rFonts w:ascii="Calibri" w:eastAsiaTheme="minorEastAsia" w:hAnsi="Calibri" w:cs="Calibri"/>
        </w:rPr>
        <w:t xml:space="preserve">selection </w:t>
      </w:r>
      <w:r w:rsidR="00343F75">
        <w:rPr>
          <w:rFonts w:ascii="Calibri" w:eastAsiaTheme="minorEastAsia" w:hAnsi="Calibri" w:cs="Calibri"/>
        </w:rPr>
        <w:t xml:space="preserve">(OOS) </w:t>
      </w:r>
      <w:r w:rsidR="00763A91">
        <w:rPr>
          <w:rFonts w:ascii="Calibri" w:eastAsiaTheme="minorEastAsia" w:hAnsi="Calibri" w:cs="Calibri"/>
        </w:rPr>
        <w:t>process</w:t>
      </w:r>
      <w:r w:rsidR="004E50F2" w:rsidRPr="004E50F2">
        <w:rPr>
          <w:rFonts w:ascii="Calibri" w:eastAsiaTheme="minorEastAsia" w:hAnsi="Calibri" w:cs="Calibri"/>
        </w:rPr>
        <w:t xml:space="preserve"> </w:t>
      </w:r>
      <w:r w:rsidR="00306424">
        <w:rPr>
          <w:rFonts w:ascii="Calibri" w:eastAsiaTheme="minorEastAsia" w:hAnsi="Calibri" w:cs="Calibri"/>
        </w:rPr>
        <w:t xml:space="preserve">and </w:t>
      </w:r>
      <w:r w:rsidR="004E50F2">
        <w:rPr>
          <w:rFonts w:ascii="Calibri" w:eastAsiaTheme="minorEastAsia" w:hAnsi="Calibri" w:cs="Calibri"/>
        </w:rPr>
        <w:t>SSB’s intent to end</w:t>
      </w:r>
      <w:r w:rsidR="00884B79">
        <w:rPr>
          <w:rFonts w:ascii="Calibri" w:eastAsiaTheme="minorEastAsia" w:hAnsi="Calibri" w:cs="Calibri"/>
        </w:rPr>
        <w:t xml:space="preserve"> OOS</w:t>
      </w:r>
      <w:r w:rsidR="00763A91" w:rsidRPr="2C2D4764">
        <w:rPr>
          <w:rFonts w:ascii="Calibri" w:eastAsiaTheme="minorEastAsia" w:hAnsi="Calibri" w:cs="Calibri"/>
        </w:rPr>
        <w:t>.</w:t>
      </w:r>
      <w:r w:rsidR="00884B79">
        <w:rPr>
          <w:rFonts w:ascii="Calibri" w:eastAsiaTheme="minorEastAsia" w:hAnsi="Calibri" w:cs="Calibri"/>
        </w:rPr>
        <w:t xml:space="preserve"> </w:t>
      </w:r>
      <w:r w:rsidR="004053D9">
        <w:rPr>
          <w:rFonts w:ascii="Calibri" w:eastAsiaTheme="minorEastAsia" w:hAnsi="Calibri" w:cs="Calibri"/>
        </w:rPr>
        <w:t>Unanimous support</w:t>
      </w:r>
      <w:r w:rsidR="0019604E">
        <w:rPr>
          <w:rFonts w:ascii="Calibri" w:eastAsiaTheme="minorEastAsia" w:hAnsi="Calibri" w:cs="Calibri"/>
        </w:rPr>
        <w:t xml:space="preserve"> for the </w:t>
      </w:r>
      <w:r w:rsidR="00D52DFB">
        <w:rPr>
          <w:rFonts w:ascii="Calibri" w:eastAsiaTheme="minorEastAsia" w:hAnsi="Calibri" w:cs="Calibri"/>
        </w:rPr>
        <w:t>end of the order</w:t>
      </w:r>
      <w:r w:rsidR="002078B8" w:rsidRPr="2C2D4764">
        <w:rPr>
          <w:rFonts w:ascii="Calibri" w:eastAsiaTheme="minorEastAsia" w:hAnsi="Calibri" w:cs="Calibri"/>
        </w:rPr>
        <w:t xml:space="preserve"> </w:t>
      </w:r>
      <w:r w:rsidR="00B22769">
        <w:rPr>
          <w:rFonts w:ascii="Calibri" w:eastAsiaTheme="minorEastAsia" w:hAnsi="Calibri" w:cs="Calibri"/>
        </w:rPr>
        <w:t>of</w:t>
      </w:r>
      <w:r w:rsidR="002078B8" w:rsidRPr="2C2D4764">
        <w:rPr>
          <w:rFonts w:ascii="Calibri" w:eastAsiaTheme="minorEastAsia" w:hAnsi="Calibri" w:cs="Calibri"/>
        </w:rPr>
        <w:t xml:space="preserve"> </w:t>
      </w:r>
      <w:r w:rsidR="00B74A3A">
        <w:rPr>
          <w:rFonts w:ascii="Calibri" w:eastAsiaTheme="minorEastAsia" w:hAnsi="Calibri" w:cs="Calibri"/>
        </w:rPr>
        <w:t>selection</w:t>
      </w:r>
      <w:r w:rsidR="00B22769">
        <w:rPr>
          <w:rFonts w:ascii="Calibri" w:eastAsiaTheme="minorEastAsia" w:hAnsi="Calibri" w:cs="Calibri"/>
        </w:rPr>
        <w:t xml:space="preserve"> process</w:t>
      </w:r>
      <w:r w:rsidR="004053D9">
        <w:rPr>
          <w:rFonts w:ascii="Calibri" w:eastAsiaTheme="minorEastAsia" w:hAnsi="Calibri" w:cs="Calibri"/>
        </w:rPr>
        <w:t xml:space="preserve"> was given by the </w:t>
      </w:r>
      <w:r w:rsidR="00C25A45">
        <w:rPr>
          <w:rFonts w:ascii="Calibri" w:eastAsiaTheme="minorEastAsia" w:hAnsi="Calibri" w:cs="Calibri"/>
        </w:rPr>
        <w:t xml:space="preserve">council. </w:t>
      </w:r>
      <w:r w:rsidR="00763A91">
        <w:rPr>
          <w:rFonts w:ascii="Calibri" w:eastAsiaTheme="minorEastAsia" w:hAnsi="Calibri" w:cs="Calibri"/>
        </w:rPr>
        <w:t xml:space="preserve"> </w:t>
      </w:r>
    </w:p>
    <w:p w14:paraId="314909FC" w14:textId="77777777" w:rsidR="002078B8" w:rsidRDefault="002078B8" w:rsidP="001D17F0">
      <w:pPr>
        <w:ind w:right="51"/>
        <w:rPr>
          <w:rFonts w:ascii="Calibri" w:eastAsiaTheme="minorEastAsia" w:hAnsi="Calibri" w:cs="Calibri"/>
        </w:rPr>
      </w:pPr>
    </w:p>
    <w:p w14:paraId="455E2877" w14:textId="3C17CCA5" w:rsidR="002039B8" w:rsidRDefault="009347C6" w:rsidP="002039B8">
      <w:pPr>
        <w:ind w:right="51" w:hanging="10"/>
        <w:rPr>
          <w:rFonts w:ascii="Calibri" w:eastAsiaTheme="minorEastAsia" w:hAnsi="Calibri" w:cs="Calibri"/>
        </w:rPr>
      </w:pPr>
      <w:r>
        <w:rPr>
          <w:rFonts w:ascii="Calibri" w:eastAsiaTheme="minorEastAsia" w:hAnsi="Calibri" w:cs="Calibri"/>
        </w:rPr>
        <w:t>Additionally</w:t>
      </w:r>
      <w:r w:rsidR="00F12061">
        <w:rPr>
          <w:rFonts w:ascii="Calibri" w:eastAsiaTheme="minorEastAsia" w:hAnsi="Calibri" w:cs="Calibri"/>
        </w:rPr>
        <w:t>,</w:t>
      </w:r>
      <w:r w:rsidR="002039B8">
        <w:rPr>
          <w:rFonts w:ascii="Calibri" w:eastAsiaTheme="minorEastAsia" w:hAnsi="Calibri" w:cs="Calibri"/>
        </w:rPr>
        <w:t xml:space="preserve"> at the August meeting t</w:t>
      </w:r>
      <w:r w:rsidR="002039B8" w:rsidRPr="001755F9">
        <w:rPr>
          <w:rFonts w:ascii="Calibri" w:eastAsiaTheme="minorEastAsia" w:hAnsi="Calibri" w:cs="Calibri"/>
        </w:rPr>
        <w:t xml:space="preserve">he </w:t>
      </w:r>
      <w:r w:rsidR="002039B8">
        <w:rPr>
          <w:rFonts w:ascii="Calibri" w:eastAsiaTheme="minorEastAsia" w:hAnsi="Calibri" w:cs="Calibri"/>
        </w:rPr>
        <w:t>c</w:t>
      </w:r>
      <w:r w:rsidR="002039B8" w:rsidRPr="001755F9">
        <w:rPr>
          <w:rFonts w:ascii="Calibri" w:eastAsiaTheme="minorEastAsia" w:hAnsi="Calibri" w:cs="Calibri"/>
        </w:rPr>
        <w:t>ouncil discussed the pros and cons of joining the National Coalition of State Rehabilitation Councils (NCSRC</w:t>
      </w:r>
      <w:r w:rsidR="002039B8" w:rsidRPr="2C2D4764">
        <w:rPr>
          <w:rFonts w:ascii="Calibri" w:eastAsiaTheme="minorEastAsia" w:hAnsi="Calibri" w:cs="Calibri"/>
        </w:rPr>
        <w:t>)</w:t>
      </w:r>
      <w:r w:rsidR="00047A73" w:rsidRPr="2C2D4764">
        <w:rPr>
          <w:rFonts w:ascii="Calibri" w:eastAsiaTheme="minorEastAsia" w:hAnsi="Calibri" w:cs="Calibri"/>
        </w:rPr>
        <w:t>. The NCSRC had provided</w:t>
      </w:r>
      <w:r w:rsidR="002677DA" w:rsidRPr="2C2D4764">
        <w:rPr>
          <w:rFonts w:ascii="Calibri" w:eastAsiaTheme="minorEastAsia" w:hAnsi="Calibri" w:cs="Calibri"/>
        </w:rPr>
        <w:t xml:space="preserve"> a</w:t>
      </w:r>
      <w:r w:rsidR="002039B8">
        <w:rPr>
          <w:rFonts w:ascii="Calibri" w:eastAsiaTheme="minorEastAsia" w:hAnsi="Calibri" w:cs="Calibri"/>
        </w:rPr>
        <w:t xml:space="preserve"> report </w:t>
      </w:r>
      <w:r w:rsidR="005F53E1" w:rsidRPr="003055A5">
        <w:rPr>
          <w:rFonts w:ascii="Calibri" w:eastAsiaTheme="minorEastAsia" w:hAnsi="Calibri" w:cs="Calibri"/>
        </w:rPr>
        <w:t>about membership and signing the resolution</w:t>
      </w:r>
      <w:r w:rsidR="005F53E1">
        <w:rPr>
          <w:rFonts w:ascii="Calibri" w:eastAsiaTheme="minorEastAsia" w:hAnsi="Calibri" w:cs="Calibri"/>
        </w:rPr>
        <w:t xml:space="preserve"> </w:t>
      </w:r>
      <w:r w:rsidR="000F4F0B" w:rsidRPr="2C2D4764">
        <w:rPr>
          <w:rFonts w:ascii="Calibri" w:eastAsiaTheme="minorEastAsia" w:hAnsi="Calibri" w:cs="Calibri"/>
        </w:rPr>
        <w:t>during</w:t>
      </w:r>
      <w:r w:rsidR="002039B8">
        <w:rPr>
          <w:rFonts w:ascii="Calibri" w:eastAsiaTheme="minorEastAsia" w:hAnsi="Calibri" w:cs="Calibri"/>
        </w:rPr>
        <w:t xml:space="preserve"> the June 2, 2023</w:t>
      </w:r>
      <w:r w:rsidR="000F4F0B" w:rsidRPr="2C2D4764">
        <w:rPr>
          <w:rFonts w:ascii="Calibri" w:eastAsiaTheme="minorEastAsia" w:hAnsi="Calibri" w:cs="Calibri"/>
        </w:rPr>
        <w:t>, council meeting</w:t>
      </w:r>
      <w:r w:rsidR="005F53E1" w:rsidRPr="2C2D4764">
        <w:rPr>
          <w:rFonts w:ascii="Calibri" w:eastAsiaTheme="minorEastAsia" w:hAnsi="Calibri" w:cs="Calibri"/>
        </w:rPr>
        <w:t>.</w:t>
      </w:r>
      <w:r w:rsidR="002039B8">
        <w:rPr>
          <w:rFonts w:ascii="Calibri" w:eastAsiaTheme="minorEastAsia" w:hAnsi="Calibri" w:cs="Calibri"/>
        </w:rPr>
        <w:t xml:space="preserve"> </w:t>
      </w:r>
      <w:r w:rsidR="00AC1493">
        <w:rPr>
          <w:rFonts w:ascii="Calibri" w:eastAsiaTheme="minorEastAsia" w:hAnsi="Calibri" w:cs="Calibri"/>
        </w:rPr>
        <w:t xml:space="preserve">Council members shared their concerns regarding NCSRC and the </w:t>
      </w:r>
      <w:r w:rsidR="007366A5">
        <w:rPr>
          <w:rFonts w:ascii="Calibri" w:eastAsiaTheme="minorEastAsia" w:hAnsi="Calibri" w:cs="Calibri"/>
        </w:rPr>
        <w:t>lack of accessibility</w:t>
      </w:r>
      <w:r w:rsidR="006B55C7">
        <w:rPr>
          <w:rFonts w:ascii="Calibri" w:eastAsiaTheme="minorEastAsia" w:hAnsi="Calibri" w:cs="Calibri"/>
        </w:rPr>
        <w:t xml:space="preserve">. </w:t>
      </w:r>
      <w:r w:rsidR="007366A5">
        <w:rPr>
          <w:rFonts w:ascii="Calibri" w:eastAsiaTheme="minorEastAsia" w:hAnsi="Calibri" w:cs="Calibri"/>
        </w:rPr>
        <w:t xml:space="preserve"> </w:t>
      </w:r>
      <w:r w:rsidR="002039B8" w:rsidRPr="001755F9">
        <w:rPr>
          <w:rFonts w:ascii="Calibri" w:eastAsiaTheme="minorEastAsia" w:hAnsi="Calibri" w:cs="Calibri"/>
        </w:rPr>
        <w:t>After the discussion, a motion to join NCSRC failed for the absence of a second. It was decided that the council would gather more information before reconsidering joining the coalition.</w:t>
      </w:r>
      <w:r w:rsidR="000F4F0B" w:rsidRPr="2C2D4764">
        <w:rPr>
          <w:rFonts w:ascii="Calibri" w:eastAsiaTheme="minorEastAsia" w:hAnsi="Calibri" w:cs="Calibri"/>
        </w:rPr>
        <w:t xml:space="preserve"> The SSB SRC-B staff liaison and one council member attended the NCSRC 2023 fall conference in Savannah, Georgia</w:t>
      </w:r>
      <w:r w:rsidR="00D408A3" w:rsidRPr="2C2D4764">
        <w:rPr>
          <w:rFonts w:ascii="Calibri" w:eastAsiaTheme="minorEastAsia" w:hAnsi="Calibri" w:cs="Calibri"/>
        </w:rPr>
        <w:t>, and they reported their observations during the December 7, 2023, council meeting.</w:t>
      </w:r>
      <w:r w:rsidR="003857A0">
        <w:rPr>
          <w:rFonts w:ascii="Calibri" w:eastAsiaTheme="minorEastAsia" w:hAnsi="Calibri" w:cs="Calibri"/>
        </w:rPr>
        <w:t xml:space="preserve"> </w:t>
      </w:r>
      <w:r w:rsidR="00594ADD">
        <w:rPr>
          <w:rFonts w:ascii="Calibri" w:eastAsiaTheme="minorEastAsia" w:hAnsi="Calibri" w:cs="Calibri"/>
        </w:rPr>
        <w:t>While the</w:t>
      </w:r>
      <w:r w:rsidR="00DA1E2D">
        <w:rPr>
          <w:rFonts w:ascii="Calibri" w:eastAsiaTheme="minorEastAsia" w:hAnsi="Calibri" w:cs="Calibri"/>
        </w:rPr>
        <w:t xml:space="preserve"> council recognize</w:t>
      </w:r>
      <w:r w:rsidR="00594ADD">
        <w:rPr>
          <w:rFonts w:ascii="Calibri" w:eastAsiaTheme="minorEastAsia" w:hAnsi="Calibri" w:cs="Calibri"/>
        </w:rPr>
        <w:t>d</w:t>
      </w:r>
      <w:r w:rsidR="00DA1E2D">
        <w:rPr>
          <w:rFonts w:ascii="Calibri" w:eastAsiaTheme="minorEastAsia" w:hAnsi="Calibri" w:cs="Calibri"/>
        </w:rPr>
        <w:t xml:space="preserve"> that</w:t>
      </w:r>
      <w:r w:rsidR="00865B61">
        <w:rPr>
          <w:rFonts w:ascii="Calibri" w:eastAsiaTheme="minorEastAsia" w:hAnsi="Calibri" w:cs="Calibri"/>
        </w:rPr>
        <w:t xml:space="preserve"> it is important to </w:t>
      </w:r>
      <w:r w:rsidR="007A3712">
        <w:rPr>
          <w:rFonts w:ascii="Calibri" w:eastAsiaTheme="minorEastAsia" w:hAnsi="Calibri" w:cs="Calibri"/>
        </w:rPr>
        <w:t xml:space="preserve">be </w:t>
      </w:r>
      <w:r w:rsidR="003857A0">
        <w:rPr>
          <w:rFonts w:ascii="Calibri" w:eastAsiaTheme="minorEastAsia" w:hAnsi="Calibri" w:cs="Calibri"/>
        </w:rPr>
        <w:t>informed of new legislat</w:t>
      </w:r>
      <w:r w:rsidR="009E332F">
        <w:rPr>
          <w:rFonts w:ascii="Calibri" w:eastAsiaTheme="minorEastAsia" w:hAnsi="Calibri" w:cs="Calibri"/>
        </w:rPr>
        <w:t xml:space="preserve">ion </w:t>
      </w:r>
      <w:r w:rsidR="003857A0">
        <w:rPr>
          <w:rFonts w:ascii="Calibri" w:eastAsiaTheme="minorEastAsia" w:hAnsi="Calibri" w:cs="Calibri"/>
        </w:rPr>
        <w:t>and</w:t>
      </w:r>
      <w:r w:rsidR="00E3485A">
        <w:rPr>
          <w:rFonts w:ascii="Calibri" w:eastAsiaTheme="minorEastAsia" w:hAnsi="Calibri" w:cs="Calibri"/>
        </w:rPr>
        <w:t xml:space="preserve"> stay connected </w:t>
      </w:r>
      <w:r w:rsidR="00FF351A">
        <w:rPr>
          <w:rFonts w:ascii="Calibri" w:eastAsiaTheme="minorEastAsia" w:hAnsi="Calibri" w:cs="Calibri"/>
        </w:rPr>
        <w:t>with the coalition</w:t>
      </w:r>
      <w:r w:rsidR="007A3712">
        <w:rPr>
          <w:rFonts w:ascii="Calibri" w:eastAsiaTheme="minorEastAsia" w:hAnsi="Calibri" w:cs="Calibri"/>
        </w:rPr>
        <w:t xml:space="preserve">, they </w:t>
      </w:r>
      <w:r w:rsidR="00E7495F">
        <w:rPr>
          <w:rFonts w:ascii="Calibri" w:eastAsiaTheme="minorEastAsia" w:hAnsi="Calibri" w:cs="Calibri"/>
        </w:rPr>
        <w:t>remained</w:t>
      </w:r>
      <w:r w:rsidR="007A3712">
        <w:rPr>
          <w:rFonts w:ascii="Calibri" w:eastAsiaTheme="minorEastAsia" w:hAnsi="Calibri" w:cs="Calibri"/>
        </w:rPr>
        <w:t xml:space="preserve"> reluctant to join</w:t>
      </w:r>
      <w:r w:rsidR="00E7495F">
        <w:rPr>
          <w:rFonts w:ascii="Calibri" w:eastAsiaTheme="minorEastAsia" w:hAnsi="Calibri" w:cs="Calibri"/>
        </w:rPr>
        <w:t xml:space="preserve"> and </w:t>
      </w:r>
      <w:r w:rsidR="00FB63D9">
        <w:rPr>
          <w:rFonts w:ascii="Calibri" w:eastAsiaTheme="minorEastAsia" w:hAnsi="Calibri" w:cs="Calibri"/>
        </w:rPr>
        <w:t xml:space="preserve">a vote was not called. </w:t>
      </w:r>
      <w:r w:rsidR="007A3712">
        <w:rPr>
          <w:rFonts w:ascii="Calibri" w:eastAsiaTheme="minorEastAsia" w:hAnsi="Calibri" w:cs="Calibri"/>
        </w:rPr>
        <w:t xml:space="preserve"> </w:t>
      </w:r>
      <w:r w:rsidR="00B67AEA">
        <w:rPr>
          <w:rFonts w:ascii="Calibri" w:eastAsiaTheme="minorEastAsia" w:hAnsi="Calibri" w:cs="Calibri"/>
        </w:rPr>
        <w:t xml:space="preserve"> </w:t>
      </w:r>
      <w:r w:rsidR="003857A0">
        <w:rPr>
          <w:rFonts w:ascii="Calibri" w:eastAsiaTheme="minorEastAsia" w:hAnsi="Calibri" w:cs="Calibri"/>
        </w:rPr>
        <w:t xml:space="preserve"> </w:t>
      </w:r>
    </w:p>
    <w:p w14:paraId="5D530C86" w14:textId="77777777" w:rsidR="00AB7C26" w:rsidRDefault="00AB7C26" w:rsidP="001D17F0">
      <w:pPr>
        <w:ind w:right="51"/>
        <w:rPr>
          <w:rFonts w:ascii="Calibri" w:eastAsiaTheme="minorEastAsia" w:hAnsi="Calibri" w:cs="Calibri"/>
        </w:rPr>
      </w:pPr>
    </w:p>
    <w:p w14:paraId="62A896F3" w14:textId="5EABBAEB" w:rsidR="00A02EAA" w:rsidRDefault="00A02EAA" w:rsidP="00A02EAA">
      <w:r>
        <w:t>Sections pertaining to the proposed funding of establishment projects occurring at the 2200 University Avenue building were presented to the SRC-B on October 5, 2023, and were unanimously approved.</w:t>
      </w:r>
    </w:p>
    <w:p w14:paraId="3A071D4D" w14:textId="77777777" w:rsidR="00A02EAA" w:rsidRDefault="00A02EAA" w:rsidP="00405366">
      <w:pPr>
        <w:ind w:right="51" w:hanging="10"/>
        <w:rPr>
          <w:rFonts w:ascii="Calibri" w:eastAsiaTheme="minorEastAsia" w:hAnsi="Calibri" w:cs="Calibri"/>
        </w:rPr>
      </w:pPr>
    </w:p>
    <w:p w14:paraId="2D8BF050" w14:textId="351D6621" w:rsidR="00D0706C" w:rsidRPr="006C6124" w:rsidRDefault="00926182" w:rsidP="00D0706C">
      <w:pPr>
        <w:ind w:right="51" w:hanging="10"/>
        <w:rPr>
          <w:rFonts w:ascii="Calibri" w:eastAsiaTheme="minorEastAsia" w:hAnsi="Calibri" w:cs="Calibri"/>
        </w:rPr>
      </w:pPr>
      <w:r w:rsidRPr="00EC79CD">
        <w:rPr>
          <w:rFonts w:ascii="Calibri" w:eastAsiaTheme="minorEastAsia" w:hAnsi="Calibri" w:cs="Calibri"/>
        </w:rPr>
        <w:t xml:space="preserve">The </w:t>
      </w:r>
      <w:r w:rsidR="00630C24" w:rsidRPr="00EC79CD">
        <w:rPr>
          <w:rFonts w:ascii="Calibri" w:eastAsiaTheme="minorEastAsia" w:hAnsi="Calibri" w:cs="Calibri"/>
        </w:rPr>
        <w:t>Community Partners</w:t>
      </w:r>
      <w:r w:rsidR="004D13D0" w:rsidRPr="00EC79CD">
        <w:rPr>
          <w:rFonts w:ascii="Calibri" w:eastAsiaTheme="minorEastAsia" w:hAnsi="Calibri" w:cs="Calibri"/>
        </w:rPr>
        <w:t xml:space="preserve"> </w:t>
      </w:r>
      <w:r w:rsidR="00630C24" w:rsidRPr="00EC79CD">
        <w:rPr>
          <w:rFonts w:ascii="Calibri" w:eastAsiaTheme="minorEastAsia" w:hAnsi="Calibri" w:cs="Calibri"/>
        </w:rPr>
        <w:t>Outcomes and</w:t>
      </w:r>
      <w:r w:rsidR="004D13D0" w:rsidRPr="00EC79CD">
        <w:rPr>
          <w:rFonts w:ascii="Calibri" w:eastAsiaTheme="minorEastAsia" w:hAnsi="Calibri" w:cs="Calibri"/>
        </w:rPr>
        <w:t xml:space="preserve"> Measures Committee </w:t>
      </w:r>
      <w:r w:rsidR="002900E6" w:rsidRPr="00EC79CD">
        <w:rPr>
          <w:rFonts w:ascii="Calibri" w:eastAsiaTheme="minorEastAsia" w:hAnsi="Calibri" w:cs="Calibri"/>
        </w:rPr>
        <w:t xml:space="preserve">has </w:t>
      </w:r>
      <w:r w:rsidR="00F228E0" w:rsidRPr="00EC79CD">
        <w:rPr>
          <w:rFonts w:ascii="Calibri" w:eastAsiaTheme="minorEastAsia" w:hAnsi="Calibri" w:cs="Calibri"/>
        </w:rPr>
        <w:t xml:space="preserve">conducted a review of the current </w:t>
      </w:r>
      <w:r w:rsidR="00F64712" w:rsidRPr="00EC79CD">
        <w:rPr>
          <w:rFonts w:ascii="Calibri" w:eastAsiaTheme="minorEastAsia" w:hAnsi="Calibri" w:cs="Calibri"/>
        </w:rPr>
        <w:t>ATB Customer Satisfaction Survey response rates</w:t>
      </w:r>
      <w:r w:rsidR="0000545B" w:rsidRPr="00EC79CD">
        <w:rPr>
          <w:rFonts w:ascii="Calibri" w:eastAsiaTheme="minorEastAsia" w:hAnsi="Calibri" w:cs="Calibri"/>
        </w:rPr>
        <w:t>. The</w:t>
      </w:r>
      <w:r w:rsidR="003729A0" w:rsidRPr="00EC79CD">
        <w:rPr>
          <w:rFonts w:ascii="Calibri" w:eastAsiaTheme="minorEastAsia" w:hAnsi="Calibri" w:cs="Calibri"/>
        </w:rPr>
        <w:t>ir</w:t>
      </w:r>
      <w:r w:rsidR="007A5C2F" w:rsidRPr="00EC79CD">
        <w:rPr>
          <w:rFonts w:ascii="Calibri" w:eastAsiaTheme="minorEastAsia" w:hAnsi="Calibri" w:cs="Calibri"/>
        </w:rPr>
        <w:t xml:space="preserve"> goal </w:t>
      </w:r>
      <w:r w:rsidR="003729A0" w:rsidRPr="00EC79CD">
        <w:rPr>
          <w:rFonts w:ascii="Calibri" w:eastAsiaTheme="minorEastAsia" w:hAnsi="Calibri" w:cs="Calibri"/>
        </w:rPr>
        <w:t>was to address</w:t>
      </w:r>
      <w:r w:rsidR="009E3873" w:rsidRPr="00EC79CD">
        <w:rPr>
          <w:rFonts w:ascii="Calibri" w:eastAsiaTheme="minorEastAsia" w:hAnsi="Calibri" w:cs="Calibri"/>
        </w:rPr>
        <w:t xml:space="preserve"> low response rates and provi</w:t>
      </w:r>
      <w:r w:rsidR="00561B6B" w:rsidRPr="00EC79CD">
        <w:rPr>
          <w:rFonts w:ascii="Calibri" w:eastAsiaTheme="minorEastAsia" w:hAnsi="Calibri" w:cs="Calibri"/>
        </w:rPr>
        <w:t xml:space="preserve">de recommendations to enhance the effectiveness of post-training surveys. </w:t>
      </w:r>
      <w:r w:rsidR="006A0CEE" w:rsidRPr="00EC79CD">
        <w:rPr>
          <w:rFonts w:ascii="Calibri" w:eastAsiaTheme="minorEastAsia" w:hAnsi="Calibri" w:cs="Calibri"/>
        </w:rPr>
        <w:t xml:space="preserve">The committee </w:t>
      </w:r>
      <w:r w:rsidR="00BF1978" w:rsidRPr="00EC79CD">
        <w:rPr>
          <w:rFonts w:ascii="Calibri" w:eastAsiaTheme="minorEastAsia" w:hAnsi="Calibri" w:cs="Calibri"/>
        </w:rPr>
        <w:t xml:space="preserve">developed </w:t>
      </w:r>
      <w:r w:rsidR="00830D27" w:rsidRPr="00EC79CD">
        <w:rPr>
          <w:rFonts w:ascii="Calibri" w:eastAsiaTheme="minorEastAsia" w:hAnsi="Calibri" w:cs="Calibri"/>
        </w:rPr>
        <w:t>three recommendations</w:t>
      </w:r>
      <w:r w:rsidR="00F95FDD" w:rsidRPr="00EC79CD">
        <w:rPr>
          <w:rFonts w:ascii="Calibri" w:eastAsiaTheme="minorEastAsia" w:hAnsi="Calibri" w:cs="Calibri"/>
        </w:rPr>
        <w:t xml:space="preserve"> </w:t>
      </w:r>
      <w:r w:rsidR="00BC4964" w:rsidRPr="00EC79CD">
        <w:rPr>
          <w:rFonts w:ascii="Calibri" w:eastAsiaTheme="minorEastAsia" w:hAnsi="Calibri" w:cs="Calibri"/>
        </w:rPr>
        <w:t>regarding</w:t>
      </w:r>
      <w:r w:rsidR="00F95FDD" w:rsidRPr="00EC79CD">
        <w:rPr>
          <w:rFonts w:ascii="Calibri" w:eastAsiaTheme="minorEastAsia" w:hAnsi="Calibri" w:cs="Calibri"/>
        </w:rPr>
        <w:t xml:space="preserve"> </w:t>
      </w:r>
      <w:r w:rsidR="00F81BBC" w:rsidRPr="00EC79CD">
        <w:rPr>
          <w:rFonts w:ascii="Calibri" w:eastAsiaTheme="minorEastAsia" w:hAnsi="Calibri" w:cs="Calibri"/>
        </w:rPr>
        <w:t>data collection, survey delivery method, and survey timing and automation</w:t>
      </w:r>
      <w:r w:rsidR="00F12061">
        <w:rPr>
          <w:rFonts w:ascii="Calibri" w:eastAsiaTheme="minorEastAsia" w:hAnsi="Calibri" w:cs="Calibri"/>
        </w:rPr>
        <w:t>.</w:t>
      </w:r>
      <w:r w:rsidR="00EC6D9F" w:rsidRPr="00EC79CD">
        <w:rPr>
          <w:rFonts w:ascii="Calibri" w:eastAsiaTheme="minorEastAsia" w:hAnsi="Calibri" w:cs="Calibri"/>
        </w:rPr>
        <w:t xml:space="preserve"> </w:t>
      </w:r>
      <w:r w:rsidR="00F12061">
        <w:rPr>
          <w:rFonts w:ascii="Calibri" w:eastAsiaTheme="minorEastAsia" w:hAnsi="Calibri" w:cs="Calibri"/>
        </w:rPr>
        <w:t xml:space="preserve">The information was </w:t>
      </w:r>
      <w:r w:rsidR="00474660" w:rsidRPr="00EC79CD">
        <w:rPr>
          <w:rFonts w:ascii="Calibri" w:eastAsiaTheme="minorEastAsia" w:hAnsi="Calibri" w:cs="Calibri"/>
        </w:rPr>
        <w:t>presented</w:t>
      </w:r>
      <w:r w:rsidR="00A503FD" w:rsidRPr="00EC79CD">
        <w:rPr>
          <w:rFonts w:ascii="Calibri" w:eastAsiaTheme="minorEastAsia" w:hAnsi="Calibri" w:cs="Calibri"/>
        </w:rPr>
        <w:t xml:space="preserve"> </w:t>
      </w:r>
      <w:r w:rsidR="005F32A8" w:rsidRPr="00EC79CD">
        <w:rPr>
          <w:rFonts w:ascii="Calibri" w:eastAsiaTheme="minorEastAsia" w:hAnsi="Calibri" w:cs="Calibri"/>
        </w:rPr>
        <w:t>at the</w:t>
      </w:r>
      <w:r w:rsidR="005D6752" w:rsidRPr="00EC79CD">
        <w:rPr>
          <w:rFonts w:ascii="Calibri" w:eastAsiaTheme="minorEastAsia" w:hAnsi="Calibri" w:cs="Calibri"/>
        </w:rPr>
        <w:t xml:space="preserve"> December 7, </w:t>
      </w:r>
      <w:r w:rsidR="00567AFE" w:rsidRPr="00EC79CD">
        <w:rPr>
          <w:rFonts w:ascii="Calibri" w:eastAsiaTheme="minorEastAsia" w:hAnsi="Calibri" w:cs="Calibri"/>
        </w:rPr>
        <w:t>2023,</w:t>
      </w:r>
      <w:r w:rsidR="005D6752" w:rsidRPr="00EC79CD">
        <w:rPr>
          <w:rFonts w:ascii="Calibri" w:eastAsiaTheme="minorEastAsia" w:hAnsi="Calibri" w:cs="Calibri"/>
        </w:rPr>
        <w:t xml:space="preserve"> meeting.</w:t>
      </w:r>
      <w:r w:rsidR="005D6752">
        <w:rPr>
          <w:rFonts w:ascii="Calibri" w:eastAsiaTheme="minorEastAsia" w:hAnsi="Calibri" w:cs="Calibri"/>
        </w:rPr>
        <w:t xml:space="preserve"> </w:t>
      </w:r>
    </w:p>
    <w:p w14:paraId="75165E59" w14:textId="77207258" w:rsidR="2C2D4764" w:rsidRDefault="2C2D4764" w:rsidP="2C2D4764">
      <w:pPr>
        <w:ind w:right="51" w:hanging="10"/>
        <w:rPr>
          <w:rFonts w:ascii="Calibri" w:eastAsiaTheme="minorEastAsia" w:hAnsi="Calibri" w:cs="Calibri"/>
        </w:rPr>
      </w:pPr>
    </w:p>
    <w:p w14:paraId="6C8EE781" w14:textId="77777777" w:rsidR="00D0706C" w:rsidRPr="006C6124" w:rsidRDefault="00D0706C" w:rsidP="00D0706C">
      <w:pPr>
        <w:ind w:right="51" w:hanging="10"/>
        <w:rPr>
          <w:rFonts w:ascii="Calibri" w:eastAsiaTheme="minorEastAsia" w:hAnsi="Calibri" w:cs="Calibri"/>
        </w:rPr>
      </w:pPr>
      <w:r w:rsidRPr="006C6124">
        <w:rPr>
          <w:rFonts w:ascii="Calibri" w:eastAsiaTheme="minorEastAsia" w:hAnsi="Calibri" w:cs="Calibri"/>
        </w:rPr>
        <w:t>Provide the VR agency’s response to the Council’s input and recommendations, including an explanation for the rejection of any input and recommendations.</w:t>
      </w:r>
      <w:r w:rsidRPr="006C6124">
        <w:rPr>
          <w:rFonts w:ascii="Calibri" w:eastAsiaTheme="minorEastAsia" w:hAnsi="Calibri" w:cs="Calibri"/>
          <w:u w:val="single"/>
        </w:rPr>
        <w:t xml:space="preserve"> </w:t>
      </w:r>
    </w:p>
    <w:p w14:paraId="415433C7" w14:textId="73FDA3FE" w:rsidR="00D0706C" w:rsidRPr="006C6124" w:rsidRDefault="00D0706C" w:rsidP="00D0706C">
      <w:pPr>
        <w:ind w:right="51" w:hanging="10"/>
        <w:rPr>
          <w:rFonts w:ascii="Calibri" w:eastAsiaTheme="minorEastAsia" w:hAnsi="Calibri" w:cs="Calibri"/>
        </w:rPr>
      </w:pPr>
      <w:r w:rsidRPr="006C6124">
        <w:rPr>
          <w:rFonts w:ascii="Calibri" w:eastAsiaTheme="minorEastAsia" w:hAnsi="Calibri" w:cs="Calibri"/>
        </w:rPr>
        <w:t>[List each recommendation/input followed by the VR agency response]</w:t>
      </w:r>
    </w:p>
    <w:p w14:paraId="56533322" w14:textId="77777777" w:rsidR="00D0706C" w:rsidRDefault="00D0706C" w:rsidP="00D0706C">
      <w:pPr>
        <w:ind w:right="51"/>
        <w:rPr>
          <w:rFonts w:ascii="Calibri" w:eastAsiaTheme="minorEastAsia" w:hAnsi="Calibri" w:cs="Calibri"/>
          <w:b/>
          <w:u w:val="single"/>
        </w:rPr>
      </w:pPr>
    </w:p>
    <w:p w14:paraId="18F844B3" w14:textId="26B17042" w:rsidR="00186946" w:rsidRPr="00F80A21" w:rsidRDefault="0061435A" w:rsidP="008C240F">
      <w:pPr>
        <w:ind w:right="51" w:hanging="10"/>
        <w:rPr>
          <w:rFonts w:ascii="Calibri" w:eastAsiaTheme="minorEastAsia" w:hAnsi="Calibri" w:cs="Calibri"/>
          <w:b/>
          <w:bCs/>
        </w:rPr>
      </w:pPr>
      <w:r w:rsidRPr="00F80A21">
        <w:rPr>
          <w:rFonts w:ascii="Calibri" w:eastAsiaTheme="minorEastAsia" w:hAnsi="Calibri" w:cs="Calibri"/>
          <w:b/>
          <w:bCs/>
        </w:rPr>
        <w:t>Recommendation/Input</w:t>
      </w:r>
    </w:p>
    <w:p w14:paraId="1990F37B" w14:textId="234426C6" w:rsidR="008C240F" w:rsidRDefault="008C240F" w:rsidP="008C240F">
      <w:pPr>
        <w:ind w:right="51" w:hanging="10"/>
        <w:rPr>
          <w:rFonts w:ascii="Calibri" w:eastAsiaTheme="minorEastAsia" w:hAnsi="Calibri" w:cs="Calibri"/>
        </w:rPr>
      </w:pPr>
      <w:r>
        <w:rPr>
          <w:rFonts w:ascii="Calibri" w:eastAsiaTheme="minorEastAsia" w:hAnsi="Calibri" w:cs="Calibri"/>
        </w:rPr>
        <w:t xml:space="preserve">The PY22 VR Effectiveness Report and the Annual SRC-B Report were presented to the SRC-B </w:t>
      </w:r>
      <w:r w:rsidR="000A4795">
        <w:rPr>
          <w:rFonts w:ascii="Calibri" w:eastAsiaTheme="minorEastAsia" w:hAnsi="Calibri" w:cs="Calibri"/>
        </w:rPr>
        <w:t xml:space="preserve">and approved </w:t>
      </w:r>
      <w:r>
        <w:rPr>
          <w:rFonts w:ascii="Calibri" w:eastAsiaTheme="minorEastAsia" w:hAnsi="Calibri" w:cs="Calibri"/>
        </w:rPr>
        <w:t xml:space="preserve">at the December </w:t>
      </w:r>
      <w:r w:rsidR="00FD3E91">
        <w:rPr>
          <w:rFonts w:ascii="Calibri" w:eastAsiaTheme="minorEastAsia" w:hAnsi="Calibri" w:cs="Calibri"/>
        </w:rPr>
        <w:t>7</w:t>
      </w:r>
      <w:r>
        <w:rPr>
          <w:rFonts w:ascii="Calibri" w:eastAsiaTheme="minorEastAsia" w:hAnsi="Calibri" w:cs="Calibri"/>
        </w:rPr>
        <w:t>, 202</w:t>
      </w:r>
      <w:r w:rsidR="00FD3E91">
        <w:rPr>
          <w:rFonts w:ascii="Calibri" w:eastAsiaTheme="minorEastAsia" w:hAnsi="Calibri" w:cs="Calibri"/>
        </w:rPr>
        <w:t>3</w:t>
      </w:r>
      <w:r w:rsidR="00E321D3">
        <w:rPr>
          <w:rFonts w:ascii="Calibri" w:eastAsiaTheme="minorEastAsia" w:hAnsi="Calibri" w:cs="Calibri"/>
        </w:rPr>
        <w:t>,</w:t>
      </w:r>
      <w:r>
        <w:rPr>
          <w:rFonts w:ascii="Calibri" w:eastAsiaTheme="minorEastAsia" w:hAnsi="Calibri" w:cs="Calibri"/>
        </w:rPr>
        <w:t xml:space="preserve"> meeting. </w:t>
      </w:r>
    </w:p>
    <w:p w14:paraId="373D1DFF" w14:textId="77777777" w:rsidR="00F80A21" w:rsidRDefault="00F80A21" w:rsidP="008C240F">
      <w:pPr>
        <w:ind w:right="51" w:hanging="10"/>
        <w:rPr>
          <w:rFonts w:ascii="Calibri" w:eastAsiaTheme="minorEastAsia" w:hAnsi="Calibri" w:cs="Calibri"/>
        </w:rPr>
      </w:pPr>
    </w:p>
    <w:p w14:paraId="30BB9724" w14:textId="3FA87D08" w:rsidR="00F80A21" w:rsidRPr="00EB6495" w:rsidRDefault="00EB6495" w:rsidP="008C240F">
      <w:pPr>
        <w:ind w:right="51" w:hanging="10"/>
        <w:rPr>
          <w:rFonts w:ascii="Calibri" w:eastAsiaTheme="minorEastAsia" w:hAnsi="Calibri" w:cs="Calibri"/>
          <w:b/>
          <w:bCs/>
        </w:rPr>
      </w:pPr>
      <w:r w:rsidRPr="00EB6495">
        <w:rPr>
          <w:rFonts w:ascii="Calibri" w:eastAsiaTheme="minorEastAsia" w:hAnsi="Calibri" w:cs="Calibri"/>
          <w:b/>
          <w:bCs/>
        </w:rPr>
        <w:t xml:space="preserve">SSB Response: </w:t>
      </w:r>
    </w:p>
    <w:p w14:paraId="27BE90A3" w14:textId="0640360D" w:rsidR="00EB6495" w:rsidRDefault="000150DB" w:rsidP="009F498E">
      <w:pPr>
        <w:spacing w:after="240"/>
        <w:ind w:right="58" w:hanging="14"/>
        <w:rPr>
          <w:rFonts w:ascii="Calibri" w:eastAsiaTheme="minorEastAsia" w:hAnsi="Calibri" w:cs="Calibri"/>
        </w:rPr>
      </w:pPr>
      <w:r>
        <w:rPr>
          <w:rFonts w:ascii="Calibri" w:eastAsiaTheme="minorEastAsia" w:hAnsi="Calibri" w:cs="Calibri"/>
        </w:rPr>
        <w:t xml:space="preserve">SSB has </w:t>
      </w:r>
      <w:r w:rsidR="003268DA">
        <w:rPr>
          <w:rFonts w:ascii="Calibri" w:eastAsiaTheme="minorEastAsia" w:hAnsi="Calibri" w:cs="Calibri"/>
        </w:rPr>
        <w:t xml:space="preserve">worked in collaboration with the SRC-B </w:t>
      </w:r>
      <w:r w:rsidR="00273362">
        <w:rPr>
          <w:rFonts w:ascii="Calibri" w:eastAsiaTheme="minorEastAsia" w:hAnsi="Calibri" w:cs="Calibri"/>
        </w:rPr>
        <w:t xml:space="preserve">and the Customer Satisfaction </w:t>
      </w:r>
      <w:r w:rsidR="000155EA">
        <w:rPr>
          <w:rFonts w:ascii="Calibri" w:eastAsiaTheme="minorEastAsia" w:hAnsi="Calibri" w:cs="Calibri"/>
        </w:rPr>
        <w:t xml:space="preserve">and Goals &amp; Priorities Committee </w:t>
      </w:r>
      <w:r w:rsidR="002B0C20">
        <w:rPr>
          <w:rFonts w:ascii="Calibri" w:eastAsiaTheme="minorEastAsia" w:hAnsi="Calibri" w:cs="Calibri"/>
        </w:rPr>
        <w:t xml:space="preserve">to </w:t>
      </w:r>
      <w:r w:rsidR="00BB4D32">
        <w:rPr>
          <w:rFonts w:ascii="Calibri" w:eastAsiaTheme="minorEastAsia" w:hAnsi="Calibri" w:cs="Calibri"/>
        </w:rPr>
        <w:t>develop</w:t>
      </w:r>
      <w:r w:rsidR="009E5224">
        <w:rPr>
          <w:rFonts w:ascii="Calibri" w:eastAsiaTheme="minorEastAsia" w:hAnsi="Calibri" w:cs="Calibri"/>
        </w:rPr>
        <w:t xml:space="preserve"> </w:t>
      </w:r>
      <w:r w:rsidR="00A9539A">
        <w:rPr>
          <w:rFonts w:ascii="Calibri" w:eastAsiaTheme="minorEastAsia" w:hAnsi="Calibri" w:cs="Calibri"/>
        </w:rPr>
        <w:t xml:space="preserve">these reports. </w:t>
      </w:r>
    </w:p>
    <w:p w14:paraId="02D23589" w14:textId="079ACA88" w:rsidR="008D4BD0" w:rsidRPr="008D4BD0" w:rsidRDefault="008D4BD0" w:rsidP="00875B7B">
      <w:pPr>
        <w:spacing w:before="120"/>
        <w:ind w:right="58" w:hanging="14"/>
        <w:rPr>
          <w:rFonts w:ascii="Calibri" w:eastAsiaTheme="minorEastAsia" w:hAnsi="Calibri" w:cs="Calibri"/>
          <w:b/>
          <w:bCs/>
        </w:rPr>
      </w:pPr>
      <w:r w:rsidRPr="00F80A21">
        <w:rPr>
          <w:rFonts w:ascii="Calibri" w:eastAsiaTheme="minorEastAsia" w:hAnsi="Calibri" w:cs="Calibri"/>
          <w:b/>
          <w:bCs/>
        </w:rPr>
        <w:t>Recommendation/Input</w:t>
      </w:r>
    </w:p>
    <w:p w14:paraId="7110DE35" w14:textId="5F7F0D67" w:rsidR="00B2704F" w:rsidRDefault="008C240F" w:rsidP="00B00D37">
      <w:pPr>
        <w:ind w:right="51" w:hanging="10"/>
        <w:rPr>
          <w:rFonts w:ascii="Calibri" w:eastAsiaTheme="minorEastAsia" w:hAnsi="Calibri" w:cs="Calibri"/>
        </w:rPr>
      </w:pPr>
      <w:r>
        <w:rPr>
          <w:rFonts w:ascii="Calibri" w:eastAsiaTheme="minorEastAsia" w:hAnsi="Calibri" w:cs="Calibri"/>
        </w:rPr>
        <w:t>The council’s budget for FFY24 was presented by the Budget Task Force and approved at the August 3, 2023</w:t>
      </w:r>
      <w:r w:rsidR="00B20CD9" w:rsidRPr="2C2D4764">
        <w:rPr>
          <w:rFonts w:ascii="Calibri" w:eastAsiaTheme="minorEastAsia" w:hAnsi="Calibri" w:cs="Calibri"/>
        </w:rPr>
        <w:t>,</w:t>
      </w:r>
      <w:r>
        <w:rPr>
          <w:rFonts w:ascii="Calibri" w:eastAsiaTheme="minorEastAsia" w:hAnsi="Calibri" w:cs="Calibri"/>
        </w:rPr>
        <w:t xml:space="preserve"> meeting.    </w:t>
      </w:r>
    </w:p>
    <w:p w14:paraId="6FDE9B6F" w14:textId="77777777" w:rsidR="00F35AF7" w:rsidRDefault="00F35AF7" w:rsidP="00B00D37">
      <w:pPr>
        <w:ind w:right="51" w:hanging="10"/>
        <w:rPr>
          <w:rFonts w:ascii="Calibri" w:eastAsiaTheme="minorEastAsia" w:hAnsi="Calibri" w:cs="Calibri"/>
        </w:rPr>
      </w:pPr>
    </w:p>
    <w:p w14:paraId="1A2247AF" w14:textId="77777777" w:rsidR="008D4BD0" w:rsidRPr="00EB6495" w:rsidRDefault="008D4BD0" w:rsidP="008D4BD0">
      <w:pPr>
        <w:ind w:right="51" w:hanging="10"/>
        <w:rPr>
          <w:rFonts w:ascii="Calibri" w:eastAsiaTheme="minorEastAsia" w:hAnsi="Calibri" w:cs="Calibri"/>
          <w:b/>
          <w:bCs/>
        </w:rPr>
      </w:pPr>
      <w:r w:rsidRPr="00EB6495">
        <w:rPr>
          <w:rFonts w:ascii="Calibri" w:eastAsiaTheme="minorEastAsia" w:hAnsi="Calibri" w:cs="Calibri"/>
          <w:b/>
          <w:bCs/>
        </w:rPr>
        <w:t xml:space="preserve">SSB Response: </w:t>
      </w:r>
    </w:p>
    <w:p w14:paraId="0794F1CB" w14:textId="2A68054B" w:rsidR="00880581" w:rsidRDefault="00875B7B" w:rsidP="00534CE3">
      <w:pPr>
        <w:spacing w:after="360"/>
        <w:ind w:right="58" w:hanging="14"/>
        <w:rPr>
          <w:rFonts w:ascii="Calibri" w:eastAsiaTheme="minorEastAsia" w:hAnsi="Calibri" w:cs="Calibri"/>
        </w:rPr>
      </w:pPr>
      <w:r>
        <w:rPr>
          <w:rFonts w:ascii="Calibri" w:eastAsiaTheme="minorEastAsia" w:hAnsi="Calibri" w:cs="Calibri"/>
        </w:rPr>
        <w:t>SSB has worked in collaboration with the SRC-B to develop</w:t>
      </w:r>
      <w:r w:rsidR="00E74CC1">
        <w:rPr>
          <w:rFonts w:ascii="Calibri" w:eastAsiaTheme="minorEastAsia" w:hAnsi="Calibri" w:cs="Calibri"/>
        </w:rPr>
        <w:t xml:space="preserve"> the </w:t>
      </w:r>
      <w:r w:rsidR="002C731E">
        <w:rPr>
          <w:rFonts w:ascii="Calibri" w:eastAsiaTheme="minorEastAsia" w:hAnsi="Calibri" w:cs="Calibri"/>
        </w:rPr>
        <w:t xml:space="preserve">FFY24 </w:t>
      </w:r>
      <w:r w:rsidR="0016364D">
        <w:rPr>
          <w:rFonts w:ascii="Calibri" w:eastAsiaTheme="minorEastAsia" w:hAnsi="Calibri" w:cs="Calibri"/>
        </w:rPr>
        <w:t xml:space="preserve">budget. </w:t>
      </w:r>
      <w:r w:rsidR="00A768FA">
        <w:rPr>
          <w:rFonts w:ascii="Calibri" w:eastAsiaTheme="minorEastAsia" w:hAnsi="Calibri" w:cs="Calibri"/>
        </w:rPr>
        <w:t xml:space="preserve">The council’s budget </w:t>
      </w:r>
      <w:r w:rsidR="00795528">
        <w:rPr>
          <w:rFonts w:ascii="Calibri" w:eastAsiaTheme="minorEastAsia" w:hAnsi="Calibri" w:cs="Calibri"/>
        </w:rPr>
        <w:t xml:space="preserve">has remained </w:t>
      </w:r>
      <w:r w:rsidR="00B139F1">
        <w:rPr>
          <w:rFonts w:ascii="Calibri" w:eastAsiaTheme="minorEastAsia" w:hAnsi="Calibri" w:cs="Calibri"/>
        </w:rPr>
        <w:t xml:space="preserve">consistent for </w:t>
      </w:r>
      <w:r w:rsidR="00D2342F">
        <w:rPr>
          <w:rFonts w:ascii="Calibri" w:eastAsiaTheme="minorEastAsia" w:hAnsi="Calibri" w:cs="Calibri"/>
        </w:rPr>
        <w:t xml:space="preserve">several years </w:t>
      </w:r>
      <w:r w:rsidR="0005414C">
        <w:rPr>
          <w:rFonts w:ascii="Calibri" w:eastAsiaTheme="minorEastAsia" w:hAnsi="Calibri" w:cs="Calibri"/>
        </w:rPr>
        <w:t xml:space="preserve">and is reasonable and appropriate. </w:t>
      </w:r>
    </w:p>
    <w:p w14:paraId="27EC0C36" w14:textId="78F9626E" w:rsidR="008D4BD0" w:rsidRPr="007D3A84" w:rsidRDefault="007D3A84" w:rsidP="007D3A84">
      <w:pPr>
        <w:spacing w:before="120"/>
        <w:ind w:right="58" w:hanging="14"/>
        <w:rPr>
          <w:rFonts w:ascii="Calibri" w:eastAsiaTheme="minorEastAsia" w:hAnsi="Calibri" w:cs="Calibri"/>
          <w:b/>
          <w:bCs/>
        </w:rPr>
      </w:pPr>
      <w:r w:rsidRPr="00F80A21">
        <w:rPr>
          <w:rFonts w:ascii="Calibri" w:eastAsiaTheme="minorEastAsia" w:hAnsi="Calibri" w:cs="Calibri"/>
          <w:b/>
          <w:bCs/>
        </w:rPr>
        <w:t>Recommendation/Input</w:t>
      </w:r>
    </w:p>
    <w:p w14:paraId="38898812" w14:textId="7B38341D" w:rsidR="00F35AF7" w:rsidRDefault="00F35AF7" w:rsidP="00F35AF7">
      <w:pPr>
        <w:ind w:right="51"/>
        <w:rPr>
          <w:rFonts w:ascii="Calibri" w:eastAsiaTheme="minorEastAsia" w:hAnsi="Calibri" w:cs="Calibri"/>
        </w:rPr>
      </w:pPr>
      <w:r>
        <w:rPr>
          <w:rFonts w:ascii="Calibri" w:eastAsiaTheme="minorEastAsia" w:hAnsi="Calibri" w:cs="Calibri"/>
        </w:rPr>
        <w:lastRenderedPageBreak/>
        <w:t xml:space="preserve">The task force </w:t>
      </w:r>
      <w:r w:rsidR="009D7F65">
        <w:rPr>
          <w:rFonts w:ascii="Calibri" w:eastAsiaTheme="minorEastAsia" w:hAnsi="Calibri" w:cs="Calibri"/>
        </w:rPr>
        <w:t xml:space="preserve">on Guest Speakers or Professional Development </w:t>
      </w:r>
      <w:r>
        <w:rPr>
          <w:rFonts w:ascii="Calibri" w:eastAsiaTheme="minorEastAsia" w:hAnsi="Calibri" w:cs="Calibri"/>
        </w:rPr>
        <w:t>reported to the council at the October 6, 2022</w:t>
      </w:r>
      <w:r w:rsidR="00602B2C" w:rsidRPr="2C2D4764">
        <w:rPr>
          <w:rFonts w:ascii="Calibri" w:eastAsiaTheme="minorEastAsia" w:hAnsi="Calibri" w:cs="Calibri"/>
        </w:rPr>
        <w:t>,</w:t>
      </w:r>
      <w:r>
        <w:rPr>
          <w:rFonts w:ascii="Calibri" w:eastAsiaTheme="minorEastAsia" w:hAnsi="Calibri" w:cs="Calibri"/>
        </w:rPr>
        <w:t xml:space="preserve"> meeting and recommended that this group continue </w:t>
      </w:r>
      <w:r w:rsidR="0084225B">
        <w:rPr>
          <w:rFonts w:ascii="Calibri" w:eastAsiaTheme="minorEastAsia" w:hAnsi="Calibri" w:cs="Calibri"/>
        </w:rPr>
        <w:t xml:space="preserve">to meet </w:t>
      </w:r>
      <w:r>
        <w:rPr>
          <w:rFonts w:ascii="Calibri" w:eastAsiaTheme="minorEastAsia" w:hAnsi="Calibri" w:cs="Calibri"/>
        </w:rPr>
        <w:t xml:space="preserve">regularly and be added to the annual work plan.  </w:t>
      </w:r>
    </w:p>
    <w:p w14:paraId="3B7D08F6" w14:textId="77777777" w:rsidR="00F35AF7" w:rsidRDefault="00F35AF7" w:rsidP="00B00D37">
      <w:pPr>
        <w:ind w:right="51" w:hanging="10"/>
        <w:rPr>
          <w:rFonts w:ascii="Calibri" w:eastAsiaTheme="minorEastAsia" w:hAnsi="Calibri" w:cs="Calibri"/>
        </w:rPr>
      </w:pPr>
    </w:p>
    <w:p w14:paraId="33B3693A" w14:textId="77777777" w:rsidR="00534CE3" w:rsidRPr="00EB6495" w:rsidRDefault="00534CE3" w:rsidP="00534CE3">
      <w:pPr>
        <w:ind w:right="51" w:hanging="10"/>
        <w:rPr>
          <w:rFonts w:ascii="Calibri" w:eastAsiaTheme="minorEastAsia" w:hAnsi="Calibri" w:cs="Calibri"/>
          <w:b/>
          <w:bCs/>
        </w:rPr>
      </w:pPr>
      <w:r w:rsidRPr="00EB6495">
        <w:rPr>
          <w:rFonts w:ascii="Calibri" w:eastAsiaTheme="minorEastAsia" w:hAnsi="Calibri" w:cs="Calibri"/>
          <w:b/>
          <w:bCs/>
        </w:rPr>
        <w:t xml:space="preserve">SSB Response: </w:t>
      </w:r>
    </w:p>
    <w:p w14:paraId="17C59A4F" w14:textId="77777777" w:rsidR="008A4CD7" w:rsidRDefault="00534CE3" w:rsidP="00B00D37">
      <w:pPr>
        <w:ind w:right="51" w:hanging="10"/>
        <w:rPr>
          <w:rFonts w:ascii="Calibri" w:eastAsiaTheme="minorEastAsia" w:hAnsi="Calibri" w:cs="Calibri"/>
        </w:rPr>
      </w:pPr>
      <w:r>
        <w:rPr>
          <w:rFonts w:ascii="Calibri" w:eastAsiaTheme="minorEastAsia" w:hAnsi="Calibri" w:cs="Calibri"/>
        </w:rPr>
        <w:t xml:space="preserve">SSB </w:t>
      </w:r>
      <w:r w:rsidR="009E7559">
        <w:rPr>
          <w:rFonts w:ascii="Calibri" w:eastAsiaTheme="minorEastAsia" w:hAnsi="Calibri" w:cs="Calibri"/>
        </w:rPr>
        <w:t xml:space="preserve">agrees with the task force and </w:t>
      </w:r>
      <w:r w:rsidR="00D34149">
        <w:rPr>
          <w:rFonts w:ascii="Calibri" w:eastAsiaTheme="minorEastAsia" w:hAnsi="Calibri" w:cs="Calibri"/>
        </w:rPr>
        <w:t>guest speaker</w:t>
      </w:r>
      <w:r w:rsidR="00742C10">
        <w:rPr>
          <w:rFonts w:ascii="Calibri" w:eastAsiaTheme="minorEastAsia" w:hAnsi="Calibri" w:cs="Calibri"/>
        </w:rPr>
        <w:t xml:space="preserve">s or professional development activities </w:t>
      </w:r>
      <w:r w:rsidR="00326B58">
        <w:rPr>
          <w:rFonts w:ascii="Calibri" w:eastAsiaTheme="minorEastAsia" w:hAnsi="Calibri" w:cs="Calibri"/>
        </w:rPr>
        <w:t>have b</w:t>
      </w:r>
      <w:r w:rsidR="00334054">
        <w:rPr>
          <w:rFonts w:ascii="Calibri" w:eastAsiaTheme="minorEastAsia" w:hAnsi="Calibri" w:cs="Calibri"/>
        </w:rPr>
        <w:t xml:space="preserve">een </w:t>
      </w:r>
      <w:r w:rsidR="009C518B">
        <w:rPr>
          <w:rFonts w:ascii="Calibri" w:eastAsiaTheme="minorEastAsia" w:hAnsi="Calibri" w:cs="Calibri"/>
        </w:rPr>
        <w:t xml:space="preserve">added to the </w:t>
      </w:r>
    </w:p>
    <w:p w14:paraId="7A9A8983" w14:textId="0C10EECE" w:rsidR="00AB561E" w:rsidRDefault="009C518B" w:rsidP="00A819CB">
      <w:pPr>
        <w:spacing w:after="360"/>
        <w:ind w:right="58" w:hanging="14"/>
        <w:rPr>
          <w:rFonts w:ascii="Calibri" w:eastAsiaTheme="minorEastAsia" w:hAnsi="Calibri" w:cs="Calibri"/>
        </w:rPr>
      </w:pPr>
      <w:r>
        <w:rPr>
          <w:rFonts w:ascii="Calibri" w:eastAsiaTheme="minorEastAsia" w:hAnsi="Calibri" w:cs="Calibri"/>
        </w:rPr>
        <w:t>SRC</w:t>
      </w:r>
      <w:r w:rsidR="008A4CD7">
        <w:rPr>
          <w:rFonts w:ascii="Calibri" w:eastAsiaTheme="minorEastAsia" w:hAnsi="Calibri" w:cs="Calibri"/>
        </w:rPr>
        <w:t>-</w:t>
      </w:r>
      <w:r>
        <w:rPr>
          <w:rFonts w:ascii="Calibri" w:eastAsiaTheme="minorEastAsia" w:hAnsi="Calibri" w:cs="Calibri"/>
        </w:rPr>
        <w:t>B Work Plan</w:t>
      </w:r>
      <w:r w:rsidR="008A4CD7">
        <w:rPr>
          <w:rFonts w:ascii="Calibri" w:eastAsiaTheme="minorEastAsia" w:hAnsi="Calibri" w:cs="Calibri"/>
        </w:rPr>
        <w:t xml:space="preserve">. </w:t>
      </w:r>
    </w:p>
    <w:p w14:paraId="33B845D0" w14:textId="77777777" w:rsidR="008A4CD7" w:rsidRPr="007D3A84" w:rsidRDefault="008A4CD7" w:rsidP="008A4CD7">
      <w:pPr>
        <w:spacing w:before="120"/>
        <w:ind w:right="58" w:hanging="14"/>
        <w:rPr>
          <w:rFonts w:ascii="Calibri" w:eastAsiaTheme="minorEastAsia" w:hAnsi="Calibri" w:cs="Calibri"/>
          <w:b/>
          <w:bCs/>
        </w:rPr>
      </w:pPr>
      <w:r w:rsidRPr="00F80A21">
        <w:rPr>
          <w:rFonts w:ascii="Calibri" w:eastAsiaTheme="minorEastAsia" w:hAnsi="Calibri" w:cs="Calibri"/>
          <w:b/>
          <w:bCs/>
        </w:rPr>
        <w:t>Recommendation/Input</w:t>
      </w:r>
    </w:p>
    <w:p w14:paraId="06C44C85" w14:textId="3501CED2" w:rsidR="008A4CD7" w:rsidRDefault="008B028E" w:rsidP="00B00D37">
      <w:pPr>
        <w:ind w:right="51" w:hanging="10"/>
        <w:rPr>
          <w:rFonts w:ascii="Calibri" w:eastAsiaTheme="minorEastAsia" w:hAnsi="Calibri" w:cs="Calibri"/>
        </w:rPr>
      </w:pPr>
      <w:r>
        <w:rPr>
          <w:rFonts w:ascii="Calibri" w:eastAsiaTheme="minorEastAsia" w:hAnsi="Calibri" w:cs="Calibri"/>
        </w:rPr>
        <w:t>At the June 2, 2023</w:t>
      </w:r>
      <w:r w:rsidR="00A82635" w:rsidRPr="2C2D4764">
        <w:rPr>
          <w:rFonts w:ascii="Calibri" w:eastAsiaTheme="minorEastAsia" w:hAnsi="Calibri" w:cs="Calibri"/>
        </w:rPr>
        <w:t>,</w:t>
      </w:r>
      <w:r>
        <w:rPr>
          <w:rFonts w:ascii="Calibri" w:eastAsiaTheme="minorEastAsia" w:hAnsi="Calibri" w:cs="Calibri"/>
        </w:rPr>
        <w:t xml:space="preserve"> meeting, the </w:t>
      </w:r>
      <w:r w:rsidR="006A3284">
        <w:rPr>
          <w:rFonts w:ascii="Calibri" w:eastAsiaTheme="minorEastAsia" w:hAnsi="Calibri" w:cs="Calibri"/>
        </w:rPr>
        <w:t>Committee Structure T</w:t>
      </w:r>
      <w:r>
        <w:rPr>
          <w:rFonts w:ascii="Calibri" w:eastAsiaTheme="minorEastAsia" w:hAnsi="Calibri" w:cs="Calibri"/>
        </w:rPr>
        <w:t xml:space="preserve">ask </w:t>
      </w:r>
      <w:r w:rsidR="006A3284">
        <w:rPr>
          <w:rFonts w:ascii="Calibri" w:eastAsiaTheme="minorEastAsia" w:hAnsi="Calibri" w:cs="Calibri"/>
        </w:rPr>
        <w:t>Fo</w:t>
      </w:r>
      <w:r>
        <w:rPr>
          <w:rFonts w:ascii="Calibri" w:eastAsiaTheme="minorEastAsia" w:hAnsi="Calibri" w:cs="Calibri"/>
        </w:rPr>
        <w:t>rce presented their report recommending the change in name of the Minority Outreach Committee to Diversity, Equity &amp; Inclusion Committee.</w:t>
      </w:r>
    </w:p>
    <w:p w14:paraId="2574E884" w14:textId="77777777" w:rsidR="008B028E" w:rsidRDefault="008B028E" w:rsidP="00B00D37">
      <w:pPr>
        <w:ind w:right="51" w:hanging="10"/>
        <w:rPr>
          <w:rFonts w:ascii="Calibri" w:eastAsiaTheme="minorEastAsia" w:hAnsi="Calibri" w:cs="Calibri"/>
        </w:rPr>
      </w:pPr>
    </w:p>
    <w:p w14:paraId="3B64A7D9" w14:textId="77777777" w:rsidR="008B028E" w:rsidRPr="00EB6495" w:rsidRDefault="008B028E" w:rsidP="008B028E">
      <w:pPr>
        <w:ind w:right="51" w:hanging="10"/>
        <w:rPr>
          <w:rFonts w:ascii="Calibri" w:eastAsiaTheme="minorEastAsia" w:hAnsi="Calibri" w:cs="Calibri"/>
          <w:b/>
          <w:bCs/>
        </w:rPr>
      </w:pPr>
      <w:r w:rsidRPr="00EB6495">
        <w:rPr>
          <w:rFonts w:ascii="Calibri" w:eastAsiaTheme="minorEastAsia" w:hAnsi="Calibri" w:cs="Calibri"/>
          <w:b/>
          <w:bCs/>
        </w:rPr>
        <w:t xml:space="preserve">SSB Response: </w:t>
      </w:r>
    </w:p>
    <w:p w14:paraId="2B022400" w14:textId="005236DA" w:rsidR="00402FA4" w:rsidRDefault="00C36260" w:rsidP="00A819CB">
      <w:pPr>
        <w:spacing w:after="360"/>
        <w:ind w:right="58" w:hanging="14"/>
        <w:rPr>
          <w:rFonts w:ascii="Calibri" w:eastAsiaTheme="minorEastAsia" w:hAnsi="Calibri" w:cs="Calibri"/>
        </w:rPr>
      </w:pPr>
      <w:r>
        <w:rPr>
          <w:rFonts w:ascii="Calibri" w:eastAsiaTheme="minorEastAsia" w:hAnsi="Calibri" w:cs="Calibri"/>
        </w:rPr>
        <w:t xml:space="preserve">SSB is in agreement with this </w:t>
      </w:r>
      <w:r w:rsidR="009A2F0F">
        <w:rPr>
          <w:rFonts w:ascii="Calibri" w:eastAsiaTheme="minorEastAsia" w:hAnsi="Calibri" w:cs="Calibri"/>
        </w:rPr>
        <w:t xml:space="preserve">change. It is in line with our </w:t>
      </w:r>
      <w:r w:rsidR="002308E4">
        <w:rPr>
          <w:rFonts w:ascii="Calibri" w:eastAsiaTheme="minorEastAsia" w:hAnsi="Calibri" w:cs="Calibri"/>
        </w:rPr>
        <w:t>state</w:t>
      </w:r>
      <w:r w:rsidR="00CE1547">
        <w:rPr>
          <w:rFonts w:ascii="Calibri" w:eastAsiaTheme="minorEastAsia" w:hAnsi="Calibri" w:cs="Calibri"/>
        </w:rPr>
        <w:t xml:space="preserve"> and agency </w:t>
      </w:r>
      <w:r w:rsidR="00F265B6">
        <w:rPr>
          <w:rFonts w:ascii="Calibri" w:eastAsiaTheme="minorEastAsia" w:hAnsi="Calibri" w:cs="Calibri"/>
        </w:rPr>
        <w:t>goals</w:t>
      </w:r>
      <w:r w:rsidR="000C483C" w:rsidRPr="2C2D4764">
        <w:rPr>
          <w:rFonts w:ascii="Calibri" w:eastAsiaTheme="minorEastAsia" w:hAnsi="Calibri" w:cs="Calibri"/>
        </w:rPr>
        <w:t xml:space="preserve"> and is</w:t>
      </w:r>
      <w:r w:rsidR="00E37857">
        <w:rPr>
          <w:rFonts w:ascii="Calibri" w:eastAsiaTheme="minorEastAsia" w:hAnsi="Calibri" w:cs="Calibri"/>
        </w:rPr>
        <w:t xml:space="preserve"> </w:t>
      </w:r>
      <w:r w:rsidR="00F14165">
        <w:rPr>
          <w:rFonts w:ascii="Calibri" w:eastAsiaTheme="minorEastAsia" w:hAnsi="Calibri" w:cs="Calibri"/>
        </w:rPr>
        <w:t xml:space="preserve">more encompassing </w:t>
      </w:r>
      <w:r w:rsidR="00402FA4">
        <w:rPr>
          <w:rFonts w:ascii="Calibri" w:eastAsiaTheme="minorEastAsia" w:hAnsi="Calibri" w:cs="Calibri"/>
        </w:rPr>
        <w:t xml:space="preserve">and positive. </w:t>
      </w:r>
    </w:p>
    <w:p w14:paraId="6838A04D" w14:textId="77777777" w:rsidR="00AA4790" w:rsidRPr="007D3A84" w:rsidRDefault="00AA4790" w:rsidP="00A819CB">
      <w:pPr>
        <w:ind w:right="58" w:hanging="14"/>
        <w:rPr>
          <w:rFonts w:ascii="Calibri" w:eastAsiaTheme="minorEastAsia" w:hAnsi="Calibri" w:cs="Calibri"/>
          <w:b/>
          <w:bCs/>
        </w:rPr>
      </w:pPr>
      <w:r w:rsidRPr="00F80A21">
        <w:rPr>
          <w:rFonts w:ascii="Calibri" w:eastAsiaTheme="minorEastAsia" w:hAnsi="Calibri" w:cs="Calibri"/>
          <w:b/>
          <w:bCs/>
        </w:rPr>
        <w:t>Recommendation/Input</w:t>
      </w:r>
    </w:p>
    <w:p w14:paraId="138D08A2" w14:textId="0ACFCE54" w:rsidR="00AA4790" w:rsidRDefault="00AA4790" w:rsidP="00B00D37">
      <w:pPr>
        <w:ind w:right="51" w:hanging="10"/>
        <w:rPr>
          <w:rFonts w:ascii="Calibri" w:eastAsiaTheme="minorEastAsia" w:hAnsi="Calibri" w:cs="Calibri"/>
        </w:rPr>
      </w:pPr>
      <w:r>
        <w:rPr>
          <w:rFonts w:ascii="Calibri" w:eastAsiaTheme="minorEastAsia" w:hAnsi="Calibri" w:cs="Calibri"/>
        </w:rPr>
        <w:t>At the August 3, 2023</w:t>
      </w:r>
      <w:r w:rsidR="000C483C" w:rsidRPr="2C2D4764">
        <w:rPr>
          <w:rFonts w:ascii="Calibri" w:eastAsiaTheme="minorEastAsia" w:hAnsi="Calibri" w:cs="Calibri"/>
        </w:rPr>
        <w:t>,</w:t>
      </w:r>
      <w:r>
        <w:rPr>
          <w:rFonts w:ascii="Calibri" w:eastAsiaTheme="minorEastAsia" w:hAnsi="Calibri" w:cs="Calibri"/>
        </w:rPr>
        <w:t xml:space="preserve"> meeting, the council unanimously voted to send the </w:t>
      </w:r>
      <w:r w:rsidRPr="00B6028F">
        <w:rPr>
          <w:rFonts w:ascii="Calibri" w:eastAsiaTheme="minorEastAsia" w:hAnsi="Calibri" w:cs="Calibri"/>
          <w:i/>
          <w:iCs/>
        </w:rPr>
        <w:t>Recommendations for Improving DEI Practices Within Minnesota State Services for the Blind</w:t>
      </w:r>
      <w:r>
        <w:rPr>
          <w:rFonts w:ascii="Calibri" w:eastAsiaTheme="minorEastAsia" w:hAnsi="Calibri" w:cs="Calibri"/>
          <w:i/>
          <w:iCs/>
        </w:rPr>
        <w:t>,</w:t>
      </w:r>
      <w:r>
        <w:rPr>
          <w:rFonts w:ascii="Calibri" w:eastAsiaTheme="minorEastAsia" w:hAnsi="Calibri" w:cs="Calibri"/>
        </w:rPr>
        <w:t xml:space="preserve"> presented by the Diversity, Equity, and Inclusion Committee, to Jessica Burke.  </w:t>
      </w:r>
    </w:p>
    <w:p w14:paraId="18C53E8F" w14:textId="0F5AD74B" w:rsidR="008B028E" w:rsidRDefault="002D4BD0" w:rsidP="00B00D37">
      <w:pPr>
        <w:ind w:right="51" w:hanging="10"/>
        <w:rPr>
          <w:rFonts w:ascii="Calibri" w:eastAsiaTheme="minorEastAsia" w:hAnsi="Calibri" w:cs="Calibri"/>
        </w:rPr>
      </w:pPr>
      <w:r>
        <w:rPr>
          <w:rFonts w:ascii="Calibri" w:eastAsiaTheme="minorEastAsia" w:hAnsi="Calibri" w:cs="Calibri"/>
        </w:rPr>
        <w:t xml:space="preserve"> </w:t>
      </w:r>
    </w:p>
    <w:p w14:paraId="511F28DB" w14:textId="77777777" w:rsidR="00AA4790" w:rsidRPr="00EB6495" w:rsidRDefault="00AA4790" w:rsidP="00AA4790">
      <w:pPr>
        <w:ind w:right="51" w:hanging="10"/>
        <w:rPr>
          <w:rFonts w:ascii="Calibri" w:eastAsiaTheme="minorEastAsia" w:hAnsi="Calibri" w:cs="Calibri"/>
          <w:b/>
          <w:bCs/>
        </w:rPr>
      </w:pPr>
      <w:r w:rsidRPr="00EB6495">
        <w:rPr>
          <w:rFonts w:ascii="Calibri" w:eastAsiaTheme="minorEastAsia" w:hAnsi="Calibri" w:cs="Calibri"/>
          <w:b/>
          <w:bCs/>
        </w:rPr>
        <w:t xml:space="preserve">SSB Response: </w:t>
      </w:r>
    </w:p>
    <w:p w14:paraId="76672A6E" w14:textId="629BD1B3" w:rsidR="00AA4790" w:rsidRDefault="004A5CDD" w:rsidP="00B00D37">
      <w:pPr>
        <w:ind w:right="51" w:hanging="10"/>
        <w:rPr>
          <w:rFonts w:ascii="Calibri" w:eastAsiaTheme="minorEastAsia" w:hAnsi="Calibri" w:cs="Calibri"/>
        </w:rPr>
      </w:pPr>
      <w:r>
        <w:rPr>
          <w:rFonts w:ascii="Calibri" w:eastAsiaTheme="minorEastAsia" w:hAnsi="Calibri" w:cs="Calibri"/>
        </w:rPr>
        <w:t xml:space="preserve">SSB </w:t>
      </w:r>
      <w:r w:rsidR="009C08D6">
        <w:rPr>
          <w:rFonts w:ascii="Calibri" w:eastAsiaTheme="minorEastAsia" w:hAnsi="Calibri" w:cs="Calibri"/>
        </w:rPr>
        <w:t xml:space="preserve">felt the recommendations were </w:t>
      </w:r>
      <w:r w:rsidR="0084225B">
        <w:rPr>
          <w:rFonts w:ascii="Calibri" w:eastAsiaTheme="minorEastAsia" w:hAnsi="Calibri" w:cs="Calibri"/>
        </w:rPr>
        <w:t xml:space="preserve">impressive </w:t>
      </w:r>
      <w:r w:rsidR="009C08D6">
        <w:rPr>
          <w:rFonts w:ascii="Calibri" w:eastAsiaTheme="minorEastAsia" w:hAnsi="Calibri" w:cs="Calibri"/>
        </w:rPr>
        <w:t xml:space="preserve">and </w:t>
      </w:r>
      <w:r w:rsidR="00CE2CFC">
        <w:rPr>
          <w:rFonts w:ascii="Calibri" w:eastAsiaTheme="minorEastAsia" w:hAnsi="Calibri" w:cs="Calibri"/>
        </w:rPr>
        <w:t xml:space="preserve">encompasses some </w:t>
      </w:r>
      <w:r w:rsidR="001659C4">
        <w:rPr>
          <w:rFonts w:ascii="Calibri" w:eastAsiaTheme="minorEastAsia" w:hAnsi="Calibri" w:cs="Calibri"/>
        </w:rPr>
        <w:t>items that have been</w:t>
      </w:r>
      <w:r w:rsidR="0084225B">
        <w:rPr>
          <w:rFonts w:ascii="Calibri" w:eastAsiaTheme="minorEastAsia" w:hAnsi="Calibri" w:cs="Calibri"/>
        </w:rPr>
        <w:t xml:space="preserve"> previously</w:t>
      </w:r>
      <w:r w:rsidR="001659C4">
        <w:rPr>
          <w:rFonts w:ascii="Calibri" w:eastAsiaTheme="minorEastAsia" w:hAnsi="Calibri" w:cs="Calibri"/>
        </w:rPr>
        <w:t xml:space="preserve"> </w:t>
      </w:r>
      <w:r w:rsidR="00721035">
        <w:rPr>
          <w:rFonts w:ascii="Calibri" w:eastAsiaTheme="minorEastAsia" w:hAnsi="Calibri" w:cs="Calibri"/>
        </w:rPr>
        <w:t>discussed internally</w:t>
      </w:r>
      <w:r w:rsidR="0017288F">
        <w:rPr>
          <w:rFonts w:ascii="Calibri" w:eastAsiaTheme="minorEastAsia" w:hAnsi="Calibri" w:cs="Calibri"/>
        </w:rPr>
        <w:t xml:space="preserve">. </w:t>
      </w:r>
      <w:r w:rsidR="009F262B">
        <w:rPr>
          <w:rFonts w:ascii="Calibri" w:eastAsiaTheme="minorEastAsia" w:hAnsi="Calibri" w:cs="Calibri"/>
        </w:rPr>
        <w:t xml:space="preserve">SSB </w:t>
      </w:r>
      <w:r w:rsidR="00D6150A">
        <w:rPr>
          <w:rFonts w:ascii="Calibri" w:eastAsiaTheme="minorEastAsia" w:hAnsi="Calibri" w:cs="Calibri"/>
        </w:rPr>
        <w:t xml:space="preserve">suggested </w:t>
      </w:r>
      <w:r w:rsidR="009F262B">
        <w:rPr>
          <w:rFonts w:ascii="Calibri" w:eastAsiaTheme="minorEastAsia" w:hAnsi="Calibri" w:cs="Calibri"/>
        </w:rPr>
        <w:t xml:space="preserve">that </w:t>
      </w:r>
      <w:r w:rsidR="009815CB">
        <w:rPr>
          <w:rFonts w:ascii="Calibri" w:eastAsiaTheme="minorEastAsia" w:hAnsi="Calibri" w:cs="Calibri"/>
        </w:rPr>
        <w:t>th</w:t>
      </w:r>
      <w:r w:rsidR="00972CDB">
        <w:rPr>
          <w:rFonts w:ascii="Calibri" w:eastAsiaTheme="minorEastAsia" w:hAnsi="Calibri" w:cs="Calibri"/>
        </w:rPr>
        <w:t xml:space="preserve">ese recommendations come </w:t>
      </w:r>
      <w:r w:rsidR="00F963C7">
        <w:rPr>
          <w:rFonts w:ascii="Calibri" w:eastAsiaTheme="minorEastAsia" w:hAnsi="Calibri" w:cs="Calibri"/>
        </w:rPr>
        <w:t xml:space="preserve">from the council directly to Jessica </w:t>
      </w:r>
      <w:r w:rsidR="00240F27">
        <w:rPr>
          <w:rFonts w:ascii="Calibri" w:eastAsiaTheme="minorEastAsia" w:hAnsi="Calibri" w:cs="Calibri"/>
        </w:rPr>
        <w:t>and SSB</w:t>
      </w:r>
      <w:r w:rsidR="0084225B">
        <w:rPr>
          <w:rFonts w:ascii="Calibri" w:eastAsiaTheme="minorEastAsia" w:hAnsi="Calibri" w:cs="Calibri"/>
        </w:rPr>
        <w:t>,</w:t>
      </w:r>
      <w:r w:rsidR="00240F27">
        <w:rPr>
          <w:rFonts w:ascii="Calibri" w:eastAsiaTheme="minorEastAsia" w:hAnsi="Calibri" w:cs="Calibri"/>
        </w:rPr>
        <w:t xml:space="preserve"> as they </w:t>
      </w:r>
      <w:r w:rsidR="0075111D">
        <w:rPr>
          <w:rFonts w:ascii="Calibri" w:eastAsiaTheme="minorEastAsia" w:hAnsi="Calibri" w:cs="Calibri"/>
        </w:rPr>
        <w:t xml:space="preserve">could carry more weight. </w:t>
      </w:r>
    </w:p>
    <w:p w14:paraId="0053B015" w14:textId="77777777" w:rsidR="00AA4790" w:rsidRDefault="00AA4790" w:rsidP="00B00D37">
      <w:pPr>
        <w:ind w:right="51" w:hanging="10"/>
        <w:rPr>
          <w:rFonts w:ascii="Calibri" w:eastAsiaTheme="minorEastAsia" w:hAnsi="Calibri" w:cs="Calibri"/>
        </w:rPr>
      </w:pPr>
    </w:p>
    <w:p w14:paraId="23433BC4" w14:textId="77777777" w:rsidR="00AA4790" w:rsidRPr="007D3A84" w:rsidRDefault="00AA4790" w:rsidP="00AA4790">
      <w:pPr>
        <w:spacing w:before="120"/>
        <w:ind w:right="58" w:hanging="14"/>
        <w:rPr>
          <w:rFonts w:ascii="Calibri" w:eastAsiaTheme="minorEastAsia" w:hAnsi="Calibri" w:cs="Calibri"/>
          <w:b/>
          <w:bCs/>
        </w:rPr>
      </w:pPr>
      <w:r w:rsidRPr="00F80A21">
        <w:rPr>
          <w:rFonts w:ascii="Calibri" w:eastAsiaTheme="minorEastAsia" w:hAnsi="Calibri" w:cs="Calibri"/>
          <w:b/>
          <w:bCs/>
        </w:rPr>
        <w:t>Recommendation/Input</w:t>
      </w:r>
    </w:p>
    <w:p w14:paraId="25C1D612" w14:textId="78EDDA6F" w:rsidR="00AA4790" w:rsidRDefault="006358C8" w:rsidP="00B00D37">
      <w:pPr>
        <w:ind w:right="51" w:hanging="10"/>
        <w:rPr>
          <w:rFonts w:ascii="Calibri" w:eastAsiaTheme="minorEastAsia" w:hAnsi="Calibri" w:cs="Calibri"/>
        </w:rPr>
      </w:pPr>
      <w:r>
        <w:rPr>
          <w:rFonts w:ascii="Calibri" w:eastAsiaTheme="minorEastAsia" w:hAnsi="Calibri" w:cs="Calibri"/>
        </w:rPr>
        <w:t xml:space="preserve">Unanimous support for the end of the order-of-selection process was given by the council.  </w:t>
      </w:r>
    </w:p>
    <w:p w14:paraId="7A63318E" w14:textId="77777777" w:rsidR="00AA4790" w:rsidRDefault="00AA4790" w:rsidP="00B00D37">
      <w:pPr>
        <w:ind w:right="51" w:hanging="10"/>
        <w:rPr>
          <w:rFonts w:ascii="Calibri" w:eastAsiaTheme="minorEastAsia" w:hAnsi="Calibri" w:cs="Calibri"/>
        </w:rPr>
      </w:pPr>
    </w:p>
    <w:p w14:paraId="165621D6" w14:textId="77777777" w:rsidR="00AA4790" w:rsidRPr="00EB6495" w:rsidRDefault="00AA4790" w:rsidP="00AA4790">
      <w:pPr>
        <w:ind w:right="51" w:hanging="10"/>
        <w:rPr>
          <w:rFonts w:ascii="Calibri" w:eastAsiaTheme="minorEastAsia" w:hAnsi="Calibri" w:cs="Calibri"/>
          <w:b/>
          <w:bCs/>
        </w:rPr>
      </w:pPr>
      <w:r w:rsidRPr="00EB6495">
        <w:rPr>
          <w:rFonts w:ascii="Calibri" w:eastAsiaTheme="minorEastAsia" w:hAnsi="Calibri" w:cs="Calibri"/>
          <w:b/>
          <w:bCs/>
        </w:rPr>
        <w:t xml:space="preserve">SSB Response: </w:t>
      </w:r>
    </w:p>
    <w:p w14:paraId="2908D4B2" w14:textId="210F985E" w:rsidR="006358C8" w:rsidRDefault="00EB4A8B" w:rsidP="008D60A8">
      <w:pPr>
        <w:spacing w:after="360"/>
        <w:ind w:right="58" w:hanging="14"/>
        <w:rPr>
          <w:rFonts w:ascii="Calibri" w:eastAsiaTheme="minorEastAsia" w:hAnsi="Calibri" w:cs="Calibri"/>
        </w:rPr>
      </w:pPr>
      <w:r>
        <w:rPr>
          <w:rFonts w:ascii="Calibri" w:eastAsiaTheme="minorEastAsia" w:hAnsi="Calibri" w:cs="Calibri"/>
        </w:rPr>
        <w:t>We are</w:t>
      </w:r>
      <w:r w:rsidR="00F11802">
        <w:rPr>
          <w:rFonts w:ascii="Calibri" w:eastAsiaTheme="minorEastAsia" w:hAnsi="Calibri" w:cs="Calibri"/>
        </w:rPr>
        <w:t xml:space="preserve"> in agreement </w:t>
      </w:r>
      <w:r w:rsidR="00B379DF">
        <w:rPr>
          <w:rFonts w:ascii="Calibri" w:eastAsiaTheme="minorEastAsia" w:hAnsi="Calibri" w:cs="Calibri"/>
        </w:rPr>
        <w:t xml:space="preserve">with the SRC-B and </w:t>
      </w:r>
      <w:r w:rsidR="00FE1840">
        <w:rPr>
          <w:rFonts w:ascii="Calibri" w:eastAsiaTheme="minorEastAsia" w:hAnsi="Calibri" w:cs="Calibri"/>
        </w:rPr>
        <w:t xml:space="preserve">it was announced that </w:t>
      </w:r>
      <w:r>
        <w:rPr>
          <w:rFonts w:ascii="Calibri" w:eastAsiaTheme="minorEastAsia" w:hAnsi="Calibri" w:cs="Calibri"/>
        </w:rPr>
        <w:t xml:space="preserve">SSB would swiftly end </w:t>
      </w:r>
      <w:r w:rsidR="00E851A0">
        <w:rPr>
          <w:rFonts w:ascii="Calibri" w:eastAsiaTheme="minorEastAsia" w:hAnsi="Calibri" w:cs="Calibri"/>
        </w:rPr>
        <w:t>the order</w:t>
      </w:r>
      <w:r w:rsidR="002078B8" w:rsidRPr="2C2D4764">
        <w:rPr>
          <w:rFonts w:ascii="Calibri" w:eastAsiaTheme="minorEastAsia" w:hAnsi="Calibri" w:cs="Calibri"/>
        </w:rPr>
        <w:t xml:space="preserve"> </w:t>
      </w:r>
      <w:r w:rsidR="00E851A0">
        <w:rPr>
          <w:rFonts w:ascii="Calibri" w:eastAsiaTheme="minorEastAsia" w:hAnsi="Calibri" w:cs="Calibri"/>
        </w:rPr>
        <w:t>of</w:t>
      </w:r>
      <w:r w:rsidR="002078B8" w:rsidRPr="2C2D4764">
        <w:rPr>
          <w:rFonts w:ascii="Calibri" w:eastAsiaTheme="minorEastAsia" w:hAnsi="Calibri" w:cs="Calibri"/>
        </w:rPr>
        <w:t xml:space="preserve"> </w:t>
      </w:r>
      <w:r w:rsidR="00E851A0">
        <w:rPr>
          <w:rFonts w:ascii="Calibri" w:eastAsiaTheme="minorEastAsia" w:hAnsi="Calibri" w:cs="Calibri"/>
        </w:rPr>
        <w:t xml:space="preserve">selection process. </w:t>
      </w:r>
      <w:r w:rsidR="000C483C" w:rsidRPr="2C2D4764">
        <w:rPr>
          <w:rFonts w:ascii="Calibri" w:eastAsiaTheme="minorEastAsia" w:hAnsi="Calibri" w:cs="Calibri"/>
        </w:rPr>
        <w:t xml:space="preserve">Order of selection ended on November </w:t>
      </w:r>
      <w:r w:rsidR="002078B8" w:rsidRPr="2C2D4764">
        <w:rPr>
          <w:rFonts w:ascii="Calibri" w:eastAsiaTheme="minorEastAsia" w:hAnsi="Calibri" w:cs="Calibri"/>
        </w:rPr>
        <w:t>16, 2023.</w:t>
      </w:r>
    </w:p>
    <w:p w14:paraId="377E633F" w14:textId="77777777" w:rsidR="006358C8" w:rsidRPr="007D3A84" w:rsidRDefault="006358C8" w:rsidP="006358C8">
      <w:pPr>
        <w:spacing w:before="120"/>
        <w:ind w:right="58" w:hanging="14"/>
        <w:rPr>
          <w:rFonts w:ascii="Calibri" w:eastAsiaTheme="minorEastAsia" w:hAnsi="Calibri" w:cs="Calibri"/>
          <w:b/>
          <w:bCs/>
        </w:rPr>
      </w:pPr>
      <w:r w:rsidRPr="00F80A21">
        <w:rPr>
          <w:rFonts w:ascii="Calibri" w:eastAsiaTheme="minorEastAsia" w:hAnsi="Calibri" w:cs="Calibri"/>
          <w:b/>
          <w:bCs/>
        </w:rPr>
        <w:t>Recommendation/Input</w:t>
      </w:r>
    </w:p>
    <w:p w14:paraId="6F11693C" w14:textId="5CA01050" w:rsidR="00642F4D" w:rsidRDefault="00642F4D" w:rsidP="00642F4D">
      <w:pPr>
        <w:ind w:right="51" w:hanging="10"/>
        <w:rPr>
          <w:rFonts w:ascii="Calibri" w:eastAsiaTheme="minorEastAsia" w:hAnsi="Calibri" w:cs="Calibri"/>
        </w:rPr>
      </w:pPr>
      <w:r>
        <w:rPr>
          <w:rFonts w:ascii="Calibri" w:eastAsiaTheme="minorEastAsia" w:hAnsi="Calibri" w:cs="Calibri"/>
        </w:rPr>
        <w:t xml:space="preserve">Council members shared their concerns regarding NCSRC and the lack of accessibility.  </w:t>
      </w:r>
      <w:r w:rsidRPr="001755F9">
        <w:rPr>
          <w:rFonts w:ascii="Calibri" w:eastAsiaTheme="minorEastAsia" w:hAnsi="Calibri" w:cs="Calibri"/>
        </w:rPr>
        <w:t>After discussion, a motion to join NCSRC failed for the absence of a second. It was decided that the council would gather more information before reconsidering joining the coalition.</w:t>
      </w:r>
    </w:p>
    <w:p w14:paraId="0EB144A3" w14:textId="77777777" w:rsidR="006358C8" w:rsidRDefault="006358C8" w:rsidP="00B00D37">
      <w:pPr>
        <w:ind w:right="51" w:hanging="10"/>
        <w:rPr>
          <w:rFonts w:ascii="Calibri" w:eastAsiaTheme="minorEastAsia" w:hAnsi="Calibri" w:cs="Calibri"/>
        </w:rPr>
      </w:pPr>
    </w:p>
    <w:p w14:paraId="34105614" w14:textId="77777777" w:rsidR="00642F4D" w:rsidRPr="00EB6495" w:rsidRDefault="00642F4D" w:rsidP="00642F4D">
      <w:pPr>
        <w:ind w:right="51" w:hanging="10"/>
        <w:rPr>
          <w:rFonts w:ascii="Calibri" w:eastAsiaTheme="minorEastAsia" w:hAnsi="Calibri" w:cs="Calibri"/>
          <w:b/>
          <w:bCs/>
        </w:rPr>
      </w:pPr>
      <w:r w:rsidRPr="00EB6495">
        <w:rPr>
          <w:rFonts w:ascii="Calibri" w:eastAsiaTheme="minorEastAsia" w:hAnsi="Calibri" w:cs="Calibri"/>
          <w:b/>
          <w:bCs/>
        </w:rPr>
        <w:t xml:space="preserve">SSB Response: </w:t>
      </w:r>
    </w:p>
    <w:p w14:paraId="1F30B731" w14:textId="5D5D4AA6" w:rsidR="006358C8" w:rsidRDefault="005F4DF7" w:rsidP="00B00D37">
      <w:pPr>
        <w:ind w:right="51" w:hanging="10"/>
        <w:rPr>
          <w:rFonts w:ascii="Calibri" w:eastAsiaTheme="minorEastAsia" w:hAnsi="Calibri" w:cs="Calibri"/>
        </w:rPr>
      </w:pPr>
      <w:r>
        <w:rPr>
          <w:rFonts w:ascii="Calibri" w:eastAsiaTheme="minorEastAsia" w:hAnsi="Calibri" w:cs="Calibri"/>
        </w:rPr>
        <w:t xml:space="preserve">SSB </w:t>
      </w:r>
      <w:r w:rsidR="00872149">
        <w:rPr>
          <w:rFonts w:ascii="Calibri" w:eastAsiaTheme="minorEastAsia" w:hAnsi="Calibri" w:cs="Calibri"/>
        </w:rPr>
        <w:t xml:space="preserve">is available to answer questions and provide information </w:t>
      </w:r>
      <w:r w:rsidR="00DC6395">
        <w:rPr>
          <w:rFonts w:ascii="Calibri" w:eastAsiaTheme="minorEastAsia" w:hAnsi="Calibri" w:cs="Calibri"/>
        </w:rPr>
        <w:t xml:space="preserve">to the SRC-B as </w:t>
      </w:r>
      <w:r w:rsidR="00D12703">
        <w:rPr>
          <w:rFonts w:ascii="Calibri" w:eastAsiaTheme="minorEastAsia" w:hAnsi="Calibri" w:cs="Calibri"/>
        </w:rPr>
        <w:t>requested</w:t>
      </w:r>
      <w:r w:rsidR="00857CC2">
        <w:rPr>
          <w:rFonts w:ascii="Calibri" w:eastAsiaTheme="minorEastAsia" w:hAnsi="Calibri" w:cs="Calibri"/>
        </w:rPr>
        <w:t xml:space="preserve"> and </w:t>
      </w:r>
      <w:r w:rsidR="00697D63">
        <w:rPr>
          <w:rFonts w:ascii="Calibri" w:eastAsiaTheme="minorEastAsia" w:hAnsi="Calibri" w:cs="Calibri"/>
        </w:rPr>
        <w:t xml:space="preserve">will leave this decision with the council. </w:t>
      </w:r>
    </w:p>
    <w:p w14:paraId="00B1D64C" w14:textId="77777777" w:rsidR="00B00D37" w:rsidRDefault="00B00D37" w:rsidP="00D0706C">
      <w:pPr>
        <w:ind w:right="51"/>
        <w:rPr>
          <w:rFonts w:ascii="Calibri" w:eastAsiaTheme="minorEastAsia" w:hAnsi="Calibri" w:cs="Calibri"/>
          <w:b/>
          <w:u w:val="single"/>
        </w:rPr>
      </w:pPr>
    </w:p>
    <w:p w14:paraId="4B6B1F0F" w14:textId="77777777" w:rsidR="00642F4D" w:rsidRDefault="00642F4D" w:rsidP="00771E08">
      <w:pPr>
        <w:spacing w:before="120"/>
        <w:ind w:right="58" w:hanging="14"/>
        <w:rPr>
          <w:rFonts w:ascii="Calibri" w:eastAsiaTheme="minorEastAsia" w:hAnsi="Calibri" w:cs="Calibri"/>
          <w:b/>
          <w:bCs/>
        </w:rPr>
      </w:pPr>
      <w:r w:rsidRPr="00F80A21">
        <w:rPr>
          <w:rFonts w:ascii="Calibri" w:eastAsiaTheme="minorEastAsia" w:hAnsi="Calibri" w:cs="Calibri"/>
          <w:b/>
          <w:bCs/>
        </w:rPr>
        <w:t>Recommendation/Input</w:t>
      </w:r>
    </w:p>
    <w:p w14:paraId="0785EE05" w14:textId="77777777" w:rsidR="006B387F" w:rsidRDefault="006B387F" w:rsidP="00771E08">
      <w:r>
        <w:t>Sections pertaining to the proposed funding of establishment projects occurring at the 2200 University Avenue building were presented to the SRC-B on October 5, 2023, and were unanimously approved.</w:t>
      </w:r>
    </w:p>
    <w:p w14:paraId="287ABBDE" w14:textId="77777777" w:rsidR="006B387F" w:rsidRPr="006B387F" w:rsidRDefault="006B387F" w:rsidP="006B387F">
      <w:pPr>
        <w:ind w:right="58" w:hanging="14"/>
        <w:rPr>
          <w:rFonts w:ascii="Calibri" w:eastAsiaTheme="minorEastAsia" w:hAnsi="Calibri" w:cs="Calibri"/>
        </w:rPr>
      </w:pPr>
    </w:p>
    <w:p w14:paraId="668E7905" w14:textId="77777777" w:rsidR="006B387F" w:rsidRPr="00EB6495" w:rsidRDefault="006B387F" w:rsidP="00771E08">
      <w:pPr>
        <w:ind w:right="58" w:hanging="14"/>
        <w:rPr>
          <w:rFonts w:ascii="Calibri" w:eastAsiaTheme="minorEastAsia" w:hAnsi="Calibri" w:cs="Calibri"/>
          <w:b/>
          <w:bCs/>
        </w:rPr>
      </w:pPr>
      <w:r w:rsidRPr="00EB6495">
        <w:rPr>
          <w:rFonts w:ascii="Calibri" w:eastAsiaTheme="minorEastAsia" w:hAnsi="Calibri" w:cs="Calibri"/>
          <w:b/>
          <w:bCs/>
        </w:rPr>
        <w:t xml:space="preserve">SSB Response: </w:t>
      </w:r>
    </w:p>
    <w:p w14:paraId="05A30CA3" w14:textId="09A431B9" w:rsidR="00B00D37" w:rsidRDefault="009A3C35" w:rsidP="004D6901">
      <w:pPr>
        <w:spacing w:after="480"/>
        <w:ind w:right="58" w:hanging="14"/>
        <w:rPr>
          <w:rFonts w:ascii="Calibri" w:eastAsiaTheme="minorEastAsia" w:hAnsi="Calibri" w:cs="Calibri"/>
        </w:rPr>
      </w:pPr>
      <w:r>
        <w:rPr>
          <w:rFonts w:ascii="Calibri" w:eastAsiaTheme="minorEastAsia" w:hAnsi="Calibri" w:cs="Calibri"/>
        </w:rPr>
        <w:t xml:space="preserve">SSB </w:t>
      </w:r>
      <w:r w:rsidR="002078B8" w:rsidRPr="2C2D4764">
        <w:rPr>
          <w:rFonts w:ascii="Calibri" w:eastAsiaTheme="minorEastAsia" w:hAnsi="Calibri" w:cs="Calibri"/>
        </w:rPr>
        <w:t>agrees</w:t>
      </w:r>
      <w:r w:rsidR="004D6901">
        <w:rPr>
          <w:rFonts w:ascii="Calibri" w:eastAsiaTheme="minorEastAsia" w:hAnsi="Calibri" w:cs="Calibri"/>
        </w:rPr>
        <w:t xml:space="preserve"> with the SRC-B. </w:t>
      </w:r>
    </w:p>
    <w:p w14:paraId="512AA4E3" w14:textId="77777777" w:rsidR="00EC79CD" w:rsidRDefault="00EC79CD" w:rsidP="00EC79CD">
      <w:pPr>
        <w:ind w:right="51" w:hanging="10"/>
        <w:rPr>
          <w:rFonts w:ascii="Calibri" w:eastAsiaTheme="minorEastAsia" w:hAnsi="Calibri" w:cs="Calibri"/>
        </w:rPr>
      </w:pPr>
    </w:p>
    <w:p w14:paraId="01BBCAD9" w14:textId="1B0B2545" w:rsidR="00EC79CD" w:rsidRPr="00EC79CD" w:rsidRDefault="00EC79CD" w:rsidP="00EC79CD">
      <w:pPr>
        <w:spacing w:before="120"/>
        <w:ind w:right="58" w:hanging="14"/>
        <w:rPr>
          <w:rFonts w:ascii="Calibri" w:eastAsiaTheme="minorEastAsia" w:hAnsi="Calibri" w:cs="Calibri"/>
          <w:b/>
          <w:bCs/>
        </w:rPr>
      </w:pPr>
      <w:r w:rsidRPr="00F80A21">
        <w:rPr>
          <w:rFonts w:ascii="Calibri" w:eastAsiaTheme="minorEastAsia" w:hAnsi="Calibri" w:cs="Calibri"/>
          <w:b/>
          <w:bCs/>
        </w:rPr>
        <w:t>Recommendation/Input</w:t>
      </w:r>
    </w:p>
    <w:p w14:paraId="67A9AB0D" w14:textId="513C4A29" w:rsidR="00EC79CD" w:rsidRPr="006C6124" w:rsidRDefault="00EC79CD" w:rsidP="00EC79CD">
      <w:pPr>
        <w:ind w:right="51" w:hanging="10"/>
        <w:rPr>
          <w:rFonts w:ascii="Calibri" w:eastAsiaTheme="minorEastAsia" w:hAnsi="Calibri" w:cs="Calibri"/>
        </w:rPr>
      </w:pPr>
      <w:r>
        <w:rPr>
          <w:rFonts w:ascii="Calibri" w:eastAsiaTheme="minorEastAsia" w:hAnsi="Calibri" w:cs="Calibri"/>
        </w:rPr>
        <w:lastRenderedPageBreak/>
        <w:t>T</w:t>
      </w:r>
      <w:r w:rsidRPr="00EC79CD">
        <w:rPr>
          <w:rFonts w:ascii="Calibri" w:eastAsiaTheme="minorEastAsia" w:hAnsi="Calibri" w:cs="Calibri"/>
        </w:rPr>
        <w:t>he Community Partners Outcomes and Measures Committee has conducted a review of the current ATB Customer Satisfaction Survey to address low response rates and provide recommendations to enhance the effectiveness of post-training surveys. The committee developed three recommendations regarding data collection, survey delivery method, and survey timing and automation</w:t>
      </w:r>
      <w:r w:rsidR="00D6150A">
        <w:rPr>
          <w:rFonts w:ascii="Calibri" w:eastAsiaTheme="minorEastAsia" w:hAnsi="Calibri" w:cs="Calibri"/>
        </w:rPr>
        <w:t>.</w:t>
      </w:r>
      <w:r w:rsidRPr="00EC79CD">
        <w:rPr>
          <w:rFonts w:ascii="Calibri" w:eastAsiaTheme="minorEastAsia" w:hAnsi="Calibri" w:cs="Calibri"/>
        </w:rPr>
        <w:t xml:space="preserve"> </w:t>
      </w:r>
      <w:r w:rsidR="00D6150A">
        <w:rPr>
          <w:rFonts w:ascii="Calibri" w:eastAsiaTheme="minorEastAsia" w:hAnsi="Calibri" w:cs="Calibri"/>
        </w:rPr>
        <w:t>The information was presented</w:t>
      </w:r>
      <w:r w:rsidRPr="00EC79CD">
        <w:rPr>
          <w:rFonts w:ascii="Calibri" w:eastAsiaTheme="minorEastAsia" w:hAnsi="Calibri" w:cs="Calibri"/>
        </w:rPr>
        <w:t xml:space="preserve"> at the December 7, </w:t>
      </w:r>
      <w:r w:rsidR="00567AFE" w:rsidRPr="00EC79CD">
        <w:rPr>
          <w:rFonts w:ascii="Calibri" w:eastAsiaTheme="minorEastAsia" w:hAnsi="Calibri" w:cs="Calibri"/>
        </w:rPr>
        <w:t>2023,</w:t>
      </w:r>
      <w:r w:rsidRPr="00EC79CD">
        <w:rPr>
          <w:rFonts w:ascii="Calibri" w:eastAsiaTheme="minorEastAsia" w:hAnsi="Calibri" w:cs="Calibri"/>
        </w:rPr>
        <w:t xml:space="preserve"> meeting.</w:t>
      </w:r>
      <w:r>
        <w:rPr>
          <w:rFonts w:ascii="Calibri" w:eastAsiaTheme="minorEastAsia" w:hAnsi="Calibri" w:cs="Calibri"/>
        </w:rPr>
        <w:t xml:space="preserve"> </w:t>
      </w:r>
    </w:p>
    <w:p w14:paraId="08F85F78" w14:textId="77777777" w:rsidR="00AB2903" w:rsidRPr="00EB6495" w:rsidRDefault="00AB2903" w:rsidP="00AB2903">
      <w:pPr>
        <w:spacing w:before="240" w:after="60"/>
        <w:ind w:right="58" w:hanging="14"/>
        <w:rPr>
          <w:rFonts w:ascii="Calibri" w:eastAsiaTheme="minorEastAsia" w:hAnsi="Calibri" w:cs="Calibri"/>
          <w:b/>
          <w:bCs/>
        </w:rPr>
      </w:pPr>
      <w:r w:rsidRPr="00EB6495">
        <w:rPr>
          <w:rFonts w:ascii="Calibri" w:eastAsiaTheme="minorEastAsia" w:hAnsi="Calibri" w:cs="Calibri"/>
          <w:b/>
          <w:bCs/>
        </w:rPr>
        <w:t xml:space="preserve">SSB Response: </w:t>
      </w:r>
    </w:p>
    <w:p w14:paraId="2BFD82CA" w14:textId="2DAB0761" w:rsidR="00EC79CD" w:rsidRPr="004D6901" w:rsidDel="00662840" w:rsidRDefault="007771C7" w:rsidP="004D6901">
      <w:pPr>
        <w:spacing w:after="480"/>
        <w:ind w:right="58" w:hanging="14"/>
        <w:rPr>
          <w:rFonts w:ascii="Calibri" w:eastAsiaTheme="minorEastAsia" w:hAnsi="Calibri" w:cs="Calibri"/>
        </w:rPr>
      </w:pPr>
      <w:r>
        <w:rPr>
          <w:rFonts w:ascii="Calibri" w:eastAsiaTheme="minorEastAsia" w:hAnsi="Calibri" w:cs="Calibri"/>
        </w:rPr>
        <w:t xml:space="preserve">SSB is </w:t>
      </w:r>
      <w:r w:rsidR="00984A80">
        <w:rPr>
          <w:rFonts w:ascii="Calibri" w:eastAsiaTheme="minorEastAsia" w:hAnsi="Calibri" w:cs="Calibri"/>
        </w:rPr>
        <w:t xml:space="preserve">reviewing the committee’s recommendations in further detail. </w:t>
      </w:r>
      <w:r w:rsidR="00E21EB6">
        <w:rPr>
          <w:rFonts w:ascii="Calibri" w:eastAsiaTheme="minorEastAsia" w:hAnsi="Calibri" w:cs="Calibri"/>
        </w:rPr>
        <w:t>We</w:t>
      </w:r>
      <w:r w:rsidR="00B8193E">
        <w:rPr>
          <w:rFonts w:ascii="Calibri" w:eastAsiaTheme="minorEastAsia" w:hAnsi="Calibri" w:cs="Calibri"/>
        </w:rPr>
        <w:t xml:space="preserve"> </w:t>
      </w:r>
      <w:r w:rsidR="00B31E63">
        <w:rPr>
          <w:rFonts w:ascii="Calibri" w:eastAsiaTheme="minorEastAsia" w:hAnsi="Calibri" w:cs="Calibri"/>
        </w:rPr>
        <w:t>acknowledge</w:t>
      </w:r>
      <w:r w:rsidR="001F3FB2">
        <w:rPr>
          <w:rFonts w:ascii="Calibri" w:eastAsiaTheme="minorEastAsia" w:hAnsi="Calibri" w:cs="Calibri"/>
        </w:rPr>
        <w:t xml:space="preserve"> that </w:t>
      </w:r>
      <w:r w:rsidR="00E21EB6">
        <w:rPr>
          <w:rFonts w:ascii="Calibri" w:eastAsiaTheme="minorEastAsia" w:hAnsi="Calibri" w:cs="Calibri"/>
        </w:rPr>
        <w:t xml:space="preserve">the </w:t>
      </w:r>
      <w:r w:rsidR="00A63F31">
        <w:rPr>
          <w:rFonts w:ascii="Calibri" w:eastAsiaTheme="minorEastAsia" w:hAnsi="Calibri" w:cs="Calibri"/>
        </w:rPr>
        <w:t xml:space="preserve">ATB Customer Satisfaction Survey </w:t>
      </w:r>
      <w:r w:rsidR="000F6155">
        <w:rPr>
          <w:rFonts w:ascii="Calibri" w:eastAsiaTheme="minorEastAsia" w:hAnsi="Calibri" w:cs="Calibri"/>
        </w:rPr>
        <w:t>is not provid</w:t>
      </w:r>
      <w:r w:rsidR="00B77D2A">
        <w:rPr>
          <w:rFonts w:ascii="Calibri" w:eastAsiaTheme="minorEastAsia" w:hAnsi="Calibri" w:cs="Calibri"/>
        </w:rPr>
        <w:t>ing the</w:t>
      </w:r>
      <w:r w:rsidR="000F6155">
        <w:rPr>
          <w:rFonts w:ascii="Calibri" w:eastAsiaTheme="minorEastAsia" w:hAnsi="Calibri" w:cs="Calibri"/>
        </w:rPr>
        <w:t xml:space="preserve"> information</w:t>
      </w:r>
      <w:r w:rsidR="006C48BC">
        <w:rPr>
          <w:rFonts w:ascii="Calibri" w:eastAsiaTheme="minorEastAsia" w:hAnsi="Calibri" w:cs="Calibri"/>
        </w:rPr>
        <w:t xml:space="preserve"> it was intended to provide</w:t>
      </w:r>
      <w:r w:rsidR="000F6155">
        <w:rPr>
          <w:rFonts w:ascii="Calibri" w:eastAsiaTheme="minorEastAsia" w:hAnsi="Calibri" w:cs="Calibri"/>
        </w:rPr>
        <w:t xml:space="preserve">. </w:t>
      </w:r>
      <w:r w:rsidR="00E11361">
        <w:rPr>
          <w:rFonts w:ascii="Calibri" w:eastAsiaTheme="minorEastAsia" w:hAnsi="Calibri" w:cs="Calibri"/>
        </w:rPr>
        <w:t xml:space="preserve">There are multiple reasons for </w:t>
      </w:r>
      <w:r w:rsidR="00840AA9">
        <w:rPr>
          <w:rFonts w:ascii="Calibri" w:eastAsiaTheme="minorEastAsia" w:hAnsi="Calibri" w:cs="Calibri"/>
        </w:rPr>
        <w:t xml:space="preserve">the </w:t>
      </w:r>
      <w:r w:rsidR="00E11361">
        <w:rPr>
          <w:rFonts w:ascii="Calibri" w:eastAsiaTheme="minorEastAsia" w:hAnsi="Calibri" w:cs="Calibri"/>
        </w:rPr>
        <w:t xml:space="preserve">low </w:t>
      </w:r>
      <w:r w:rsidR="00A63F31">
        <w:rPr>
          <w:rFonts w:ascii="Calibri" w:eastAsiaTheme="minorEastAsia" w:hAnsi="Calibri" w:cs="Calibri"/>
        </w:rPr>
        <w:t>response rates</w:t>
      </w:r>
      <w:r w:rsidR="00840AA9">
        <w:rPr>
          <w:rFonts w:ascii="Calibri" w:eastAsiaTheme="minorEastAsia" w:hAnsi="Calibri" w:cs="Calibri"/>
        </w:rPr>
        <w:t>, one of which is</w:t>
      </w:r>
      <w:r w:rsidR="00E11361">
        <w:rPr>
          <w:rFonts w:ascii="Calibri" w:eastAsiaTheme="minorEastAsia" w:hAnsi="Calibri" w:cs="Calibri"/>
        </w:rPr>
        <w:t xml:space="preserve"> a low number of participants. </w:t>
      </w:r>
      <w:r w:rsidR="00881ED4">
        <w:rPr>
          <w:rFonts w:ascii="Calibri" w:eastAsiaTheme="minorEastAsia" w:hAnsi="Calibri" w:cs="Calibri"/>
        </w:rPr>
        <w:t xml:space="preserve">SSB </w:t>
      </w:r>
      <w:r w:rsidR="002A1D71">
        <w:rPr>
          <w:rFonts w:ascii="Calibri" w:eastAsiaTheme="minorEastAsia" w:hAnsi="Calibri" w:cs="Calibri"/>
        </w:rPr>
        <w:t>is working with</w:t>
      </w:r>
      <w:r w:rsidR="00F87AE1">
        <w:rPr>
          <w:rFonts w:ascii="Calibri" w:eastAsiaTheme="minorEastAsia" w:hAnsi="Calibri" w:cs="Calibri"/>
        </w:rPr>
        <w:t xml:space="preserve"> the</w:t>
      </w:r>
      <w:r w:rsidR="002A1D71">
        <w:rPr>
          <w:rFonts w:ascii="Calibri" w:eastAsiaTheme="minorEastAsia" w:hAnsi="Calibri" w:cs="Calibri"/>
        </w:rPr>
        <w:t xml:space="preserve"> </w:t>
      </w:r>
      <w:r w:rsidR="00F80256">
        <w:rPr>
          <w:rFonts w:ascii="Calibri" w:eastAsiaTheme="minorEastAsia" w:hAnsi="Calibri" w:cs="Calibri"/>
        </w:rPr>
        <w:t>DEED Survey Coordinator</w:t>
      </w:r>
      <w:r w:rsidR="004E516C">
        <w:rPr>
          <w:rFonts w:ascii="Calibri" w:eastAsiaTheme="minorEastAsia" w:hAnsi="Calibri" w:cs="Calibri"/>
        </w:rPr>
        <w:t>,</w:t>
      </w:r>
      <w:r w:rsidR="00F80256">
        <w:rPr>
          <w:rFonts w:ascii="Calibri" w:eastAsiaTheme="minorEastAsia" w:hAnsi="Calibri" w:cs="Calibri"/>
        </w:rPr>
        <w:t xml:space="preserve"> </w:t>
      </w:r>
      <w:r w:rsidR="00110CCA">
        <w:rPr>
          <w:rFonts w:ascii="Calibri" w:eastAsiaTheme="minorEastAsia" w:hAnsi="Calibri" w:cs="Calibri"/>
        </w:rPr>
        <w:t xml:space="preserve">who oversees the administration of the current </w:t>
      </w:r>
      <w:r w:rsidR="00980990">
        <w:rPr>
          <w:rFonts w:ascii="Calibri" w:eastAsiaTheme="minorEastAsia" w:hAnsi="Calibri" w:cs="Calibri"/>
        </w:rPr>
        <w:t xml:space="preserve">survey </w:t>
      </w:r>
      <w:r w:rsidR="00887CB1">
        <w:rPr>
          <w:rFonts w:ascii="Calibri" w:eastAsiaTheme="minorEastAsia" w:hAnsi="Calibri" w:cs="Calibri"/>
        </w:rPr>
        <w:t>method</w:t>
      </w:r>
      <w:r w:rsidR="004E516C">
        <w:rPr>
          <w:rFonts w:ascii="Calibri" w:eastAsiaTheme="minorEastAsia" w:hAnsi="Calibri" w:cs="Calibri"/>
        </w:rPr>
        <w:t xml:space="preserve">, </w:t>
      </w:r>
      <w:r w:rsidR="00F80256">
        <w:rPr>
          <w:rFonts w:ascii="Calibri" w:eastAsiaTheme="minorEastAsia" w:hAnsi="Calibri" w:cs="Calibri"/>
        </w:rPr>
        <w:t>to</w:t>
      </w:r>
      <w:r w:rsidR="00F87AE1">
        <w:rPr>
          <w:rFonts w:ascii="Calibri" w:eastAsiaTheme="minorEastAsia" w:hAnsi="Calibri" w:cs="Calibri"/>
        </w:rPr>
        <w:t xml:space="preserve"> investigate the possibilities of </w:t>
      </w:r>
      <w:r w:rsidR="00EC29C9">
        <w:rPr>
          <w:rFonts w:ascii="Calibri" w:eastAsiaTheme="minorEastAsia" w:hAnsi="Calibri" w:cs="Calibri"/>
        </w:rPr>
        <w:t xml:space="preserve">alternative survey delivery methods. </w:t>
      </w:r>
      <w:r w:rsidR="00705BAD">
        <w:rPr>
          <w:rFonts w:ascii="Calibri" w:eastAsiaTheme="minorEastAsia" w:hAnsi="Calibri" w:cs="Calibri"/>
        </w:rPr>
        <w:t>Some i</w:t>
      </w:r>
      <w:r w:rsidR="003B2584">
        <w:rPr>
          <w:rFonts w:ascii="Calibri" w:eastAsiaTheme="minorEastAsia" w:hAnsi="Calibri" w:cs="Calibri"/>
        </w:rPr>
        <w:t xml:space="preserve">deas </w:t>
      </w:r>
      <w:r w:rsidR="005207DC">
        <w:rPr>
          <w:rFonts w:ascii="Calibri" w:eastAsiaTheme="minorEastAsia" w:hAnsi="Calibri" w:cs="Calibri"/>
        </w:rPr>
        <w:t xml:space="preserve">include </w:t>
      </w:r>
      <w:r w:rsidR="000A1E28">
        <w:rPr>
          <w:rFonts w:ascii="Calibri" w:eastAsiaTheme="minorEastAsia" w:hAnsi="Calibri" w:cs="Calibri"/>
        </w:rPr>
        <w:t xml:space="preserve">returning to delivering surveys via </w:t>
      </w:r>
      <w:r w:rsidR="00567AFE">
        <w:rPr>
          <w:rFonts w:ascii="Calibri" w:eastAsiaTheme="minorEastAsia" w:hAnsi="Calibri" w:cs="Calibri"/>
        </w:rPr>
        <w:t>phone and</w:t>
      </w:r>
      <w:r w:rsidR="00AA596B">
        <w:rPr>
          <w:rFonts w:ascii="Calibri" w:eastAsiaTheme="minorEastAsia" w:hAnsi="Calibri" w:cs="Calibri"/>
        </w:rPr>
        <w:t xml:space="preserve"> </w:t>
      </w:r>
      <w:r w:rsidR="002D78B1">
        <w:rPr>
          <w:rFonts w:ascii="Calibri" w:eastAsiaTheme="minorEastAsia" w:hAnsi="Calibri" w:cs="Calibri"/>
        </w:rPr>
        <w:t xml:space="preserve">contracting with a third party to </w:t>
      </w:r>
      <w:r w:rsidR="00705BAD">
        <w:rPr>
          <w:rFonts w:ascii="Calibri" w:eastAsiaTheme="minorEastAsia" w:hAnsi="Calibri" w:cs="Calibri"/>
        </w:rPr>
        <w:t xml:space="preserve">conduct focus groups. </w:t>
      </w:r>
      <w:r w:rsidR="00EB4C1A">
        <w:rPr>
          <w:rFonts w:ascii="Calibri" w:eastAsiaTheme="minorEastAsia" w:hAnsi="Calibri" w:cs="Calibri"/>
        </w:rPr>
        <w:t xml:space="preserve">SSB </w:t>
      </w:r>
      <w:r w:rsidR="00C6327E">
        <w:rPr>
          <w:rFonts w:ascii="Calibri" w:eastAsiaTheme="minorEastAsia" w:hAnsi="Calibri" w:cs="Calibri"/>
        </w:rPr>
        <w:t>will co</w:t>
      </w:r>
      <w:r w:rsidR="00C26930">
        <w:rPr>
          <w:rFonts w:ascii="Calibri" w:eastAsiaTheme="minorEastAsia" w:hAnsi="Calibri" w:cs="Calibri"/>
        </w:rPr>
        <w:t xml:space="preserve">ntinue </w:t>
      </w:r>
      <w:r w:rsidR="004C1F89">
        <w:rPr>
          <w:rFonts w:ascii="Calibri" w:eastAsiaTheme="minorEastAsia" w:hAnsi="Calibri" w:cs="Calibri"/>
        </w:rPr>
        <w:t xml:space="preserve">gathering information until it is able to make a determination. </w:t>
      </w:r>
      <w:r w:rsidR="00C6327E">
        <w:rPr>
          <w:rFonts w:ascii="Calibri" w:eastAsiaTheme="minorEastAsia" w:hAnsi="Calibri" w:cs="Calibri"/>
        </w:rPr>
        <w:t xml:space="preserve"> </w:t>
      </w:r>
    </w:p>
    <w:p w14:paraId="50DD7106" w14:textId="77777777" w:rsidR="00D0706C" w:rsidRPr="006C6124" w:rsidRDefault="00D0706C" w:rsidP="00D0706C">
      <w:pPr>
        <w:ind w:right="51" w:hanging="10"/>
        <w:rPr>
          <w:rFonts w:ascii="Calibri" w:eastAsia="Cambria" w:hAnsi="Calibri" w:cs="Calibri"/>
          <w:color w:val="000000" w:themeColor="text1"/>
        </w:rPr>
      </w:pPr>
      <w:r w:rsidRPr="006C6124">
        <w:rPr>
          <w:rFonts w:ascii="Calibri" w:eastAsiaTheme="minorEastAsia" w:hAnsi="Calibri" w:cs="Calibri"/>
          <w:b/>
          <w:u w:val="single"/>
        </w:rPr>
        <w:t>(b) Comprehensive Statewide Needs Assessment (CSNA).</w:t>
      </w:r>
      <w:r w:rsidRPr="006C6124">
        <w:rPr>
          <w:rFonts w:ascii="Calibri" w:eastAsiaTheme="minorEastAsia" w:hAnsi="Calibri" w:cs="Calibri"/>
        </w:rPr>
        <w:t xml:space="preserve"> Section 101(a)(15), (17), and (23) of the Rehabilitation Act require VR agencies to provide an assessment of:</w:t>
      </w:r>
    </w:p>
    <w:p w14:paraId="5A45CC91" w14:textId="77777777" w:rsidR="00D0706C" w:rsidRPr="006C6124" w:rsidRDefault="00D0706C" w:rsidP="00D0706C">
      <w:pPr>
        <w:ind w:left="360"/>
        <w:contextualSpacing/>
        <w:rPr>
          <w:rFonts w:ascii="Calibri" w:eastAsiaTheme="minorEastAsia" w:hAnsi="Calibri" w:cs="Calibri"/>
        </w:rPr>
      </w:pPr>
    </w:p>
    <w:p w14:paraId="42C5CB44" w14:textId="77777777" w:rsidR="00D0706C" w:rsidRPr="006C6124" w:rsidRDefault="00D0706C">
      <w:pPr>
        <w:numPr>
          <w:ilvl w:val="0"/>
          <w:numId w:val="14"/>
        </w:numPr>
        <w:spacing w:after="5" w:line="250" w:lineRule="auto"/>
        <w:ind w:right="51"/>
        <w:contextualSpacing/>
        <w:rPr>
          <w:rFonts w:ascii="Calibri" w:eastAsiaTheme="minorEastAsia" w:hAnsi="Calibri" w:cs="Calibri"/>
        </w:rPr>
      </w:pPr>
      <w:r w:rsidRPr="006C6124">
        <w:rPr>
          <w:rFonts w:ascii="Calibri" w:eastAsiaTheme="minorEastAsia" w:hAnsi="Calibri" w:cs="Calibri"/>
        </w:rPr>
        <w:t xml:space="preserve">The VR services needs of individuals with disabilities residing within the State, including: </w:t>
      </w:r>
    </w:p>
    <w:p w14:paraId="3913BB75" w14:textId="77777777" w:rsidR="00D0706C" w:rsidRPr="006C6124" w:rsidRDefault="00D0706C" w:rsidP="00D0706C">
      <w:pPr>
        <w:ind w:left="360"/>
        <w:contextualSpacing/>
        <w:rPr>
          <w:rFonts w:ascii="Calibri" w:eastAsiaTheme="minorEastAsia" w:hAnsi="Calibri" w:cs="Calibri"/>
        </w:rPr>
      </w:pPr>
    </w:p>
    <w:p w14:paraId="450B437B" w14:textId="77777777" w:rsidR="00D0706C" w:rsidRPr="006C6124" w:rsidRDefault="00D0706C">
      <w:pPr>
        <w:numPr>
          <w:ilvl w:val="0"/>
          <w:numId w:val="15"/>
        </w:numPr>
        <w:spacing w:before="240" w:after="5" w:line="250" w:lineRule="auto"/>
        <w:ind w:right="51"/>
        <w:contextualSpacing/>
        <w:outlineLvl w:val="0"/>
        <w:rPr>
          <w:rFonts w:ascii="Calibri" w:eastAsiaTheme="minorEastAsia" w:hAnsi="Calibri" w:cs="Calibri"/>
        </w:rPr>
      </w:pPr>
      <w:r w:rsidRPr="006C6124">
        <w:rPr>
          <w:rFonts w:ascii="Calibri" w:eastAsiaTheme="minorEastAsia" w:hAnsi="Calibri" w:cs="Calibri"/>
        </w:rPr>
        <w:t>Individuals with the most significant disabilities and their need for Supported Employment;</w:t>
      </w:r>
    </w:p>
    <w:p w14:paraId="5C28A691" w14:textId="6E4F527A" w:rsidR="00D0706C" w:rsidRDefault="00D0706C" w:rsidP="00D0706C">
      <w:pPr>
        <w:spacing w:before="240"/>
        <w:ind w:left="864" w:firstLine="144"/>
        <w:contextualSpacing/>
        <w:outlineLvl w:val="0"/>
        <w:rPr>
          <w:rFonts w:ascii="Calibri" w:eastAsiaTheme="minorEastAsia" w:hAnsi="Calibri" w:cs="Calibri"/>
        </w:rPr>
      </w:pPr>
    </w:p>
    <w:p w14:paraId="3363C291" w14:textId="77777777" w:rsidR="007D669D" w:rsidRDefault="007D669D" w:rsidP="00D0706C">
      <w:pPr>
        <w:spacing w:before="240"/>
        <w:ind w:left="864" w:firstLine="144"/>
        <w:contextualSpacing/>
        <w:outlineLvl w:val="0"/>
        <w:rPr>
          <w:rFonts w:ascii="Calibri" w:eastAsiaTheme="minorEastAsia" w:hAnsi="Calibri" w:cs="Calibri"/>
        </w:rPr>
      </w:pPr>
    </w:p>
    <w:p w14:paraId="4E29481A" w14:textId="3C06AA9F" w:rsidR="00D73141" w:rsidRDefault="002B2890" w:rsidP="7978840C">
      <w:pPr>
        <w:spacing w:after="360"/>
        <w:outlineLvl w:val="0"/>
        <w:rPr>
          <w:rFonts w:ascii="Calibri" w:eastAsiaTheme="minorEastAsia" w:hAnsi="Calibri" w:cs="Calibri"/>
        </w:rPr>
      </w:pPr>
      <w:r w:rsidRPr="00E84794">
        <w:rPr>
          <w:rFonts w:ascii="Calibri" w:eastAsiaTheme="minorEastAsia" w:hAnsi="Calibri" w:cs="Calibri"/>
        </w:rPr>
        <w:t xml:space="preserve">Supported Employment services are provided to SSB customers as needed. In PY2022, there were 55 customers with Supported Employment (SE) plans, 27 of which received Pre-ETS. In PY2023, there were 53 customers with SE plans, 29 of which received Pre-ETS. With regards to youth, SSB is committed to providing all students work experiences with or without </w:t>
      </w:r>
      <w:r w:rsidRPr="7978840C">
        <w:rPr>
          <w:rFonts w:ascii="Calibri" w:eastAsiaTheme="minorEastAsia" w:hAnsi="Calibri" w:cs="Calibri"/>
        </w:rPr>
        <w:t>support</w:t>
      </w:r>
      <w:r w:rsidR="00AC3CCB" w:rsidRPr="7978840C">
        <w:rPr>
          <w:rFonts w:ascii="Calibri" w:eastAsiaTheme="minorEastAsia" w:hAnsi="Calibri" w:cs="Calibri"/>
        </w:rPr>
        <w:t>ed</w:t>
      </w:r>
      <w:r w:rsidRPr="00E84794">
        <w:rPr>
          <w:rFonts w:ascii="Calibri" w:eastAsiaTheme="minorEastAsia" w:hAnsi="Calibri" w:cs="Calibri"/>
        </w:rPr>
        <w:t xml:space="preserve"> employment services. </w:t>
      </w:r>
    </w:p>
    <w:p w14:paraId="3B0648DA" w14:textId="10D881FB" w:rsidR="00D0706C" w:rsidRPr="006C6124" w:rsidRDefault="002B2890" w:rsidP="00FE52E1">
      <w:pPr>
        <w:spacing w:after="360"/>
        <w:outlineLvl w:val="0"/>
        <w:rPr>
          <w:rFonts w:ascii="Calibri" w:eastAsiaTheme="minorEastAsia" w:hAnsi="Calibri" w:cs="Calibri"/>
        </w:rPr>
      </w:pPr>
      <w:r w:rsidRPr="00E84794">
        <w:rPr>
          <w:rFonts w:ascii="Calibri" w:eastAsiaTheme="minorEastAsia" w:hAnsi="Calibri" w:cs="Calibri"/>
        </w:rPr>
        <w:t>SSB uses Title I funds to provide SE services and is declining to receive FFY2024 SE funds. </w:t>
      </w:r>
      <w:r w:rsidR="00D73141" w:rsidRPr="0BB0A80F">
        <w:rPr>
          <w:rFonts w:ascii="Calibri" w:eastAsiaTheme="minorEastAsia" w:hAnsi="Calibri" w:cs="Calibri"/>
        </w:rPr>
        <w:t>SSB is declining support</w:t>
      </w:r>
      <w:r w:rsidR="000A7B95" w:rsidRPr="0BB0A80F">
        <w:rPr>
          <w:rFonts w:ascii="Calibri" w:eastAsiaTheme="minorEastAsia" w:hAnsi="Calibri" w:cs="Calibri"/>
        </w:rPr>
        <w:t xml:space="preserve">ed </w:t>
      </w:r>
      <w:r w:rsidR="00D73141" w:rsidRPr="0BB0A80F">
        <w:rPr>
          <w:rFonts w:ascii="Calibri" w:eastAsiaTheme="minorEastAsia" w:hAnsi="Calibri" w:cs="Calibri"/>
        </w:rPr>
        <w:t>employment dollars</w:t>
      </w:r>
      <w:r w:rsidR="00A04DF4" w:rsidRPr="0BB0A80F">
        <w:rPr>
          <w:rFonts w:ascii="Calibri" w:eastAsiaTheme="minorEastAsia" w:hAnsi="Calibri" w:cs="Calibri"/>
        </w:rPr>
        <w:t>,</w:t>
      </w:r>
      <w:r w:rsidR="00D73141" w:rsidRPr="0BB0A80F">
        <w:rPr>
          <w:rFonts w:ascii="Calibri" w:eastAsiaTheme="minorEastAsia" w:hAnsi="Calibri" w:cs="Calibri"/>
        </w:rPr>
        <w:t xml:space="preserve"> as </w:t>
      </w:r>
      <w:r w:rsidR="000A7B95" w:rsidRPr="0BB0A80F">
        <w:rPr>
          <w:rFonts w:ascii="Calibri" w:eastAsiaTheme="minorEastAsia" w:hAnsi="Calibri" w:cs="Calibri"/>
        </w:rPr>
        <w:t xml:space="preserve">the requirements for using those dollars are too restrictive. </w:t>
      </w:r>
      <w:r w:rsidR="00645DFB" w:rsidRPr="0BB0A80F">
        <w:rPr>
          <w:rFonts w:ascii="Calibri" w:eastAsiaTheme="minorEastAsia" w:hAnsi="Calibri" w:cs="Calibri"/>
        </w:rPr>
        <w:t>These</w:t>
      </w:r>
      <w:r w:rsidR="000A7B95" w:rsidRPr="0BB0A80F">
        <w:rPr>
          <w:rFonts w:ascii="Calibri" w:eastAsiaTheme="minorEastAsia" w:hAnsi="Calibri" w:cs="Calibri"/>
        </w:rPr>
        <w:t xml:space="preserve"> funds</w:t>
      </w:r>
      <w:r w:rsidR="00B97067" w:rsidRPr="0BB0A80F">
        <w:rPr>
          <w:rFonts w:ascii="Calibri" w:eastAsiaTheme="minorEastAsia" w:hAnsi="Calibri" w:cs="Calibri"/>
        </w:rPr>
        <w:t xml:space="preserve"> have youth matching requirements</w:t>
      </w:r>
      <w:r w:rsidR="00A04DF4" w:rsidRPr="0BB0A80F">
        <w:rPr>
          <w:rFonts w:ascii="Calibri" w:eastAsiaTheme="minorEastAsia" w:hAnsi="Calibri" w:cs="Calibri"/>
        </w:rPr>
        <w:t>,</w:t>
      </w:r>
      <w:r w:rsidR="00B97067" w:rsidRPr="0BB0A80F">
        <w:rPr>
          <w:rFonts w:ascii="Calibri" w:eastAsiaTheme="minorEastAsia" w:hAnsi="Calibri" w:cs="Calibri"/>
        </w:rPr>
        <w:t xml:space="preserve"> and</w:t>
      </w:r>
      <w:r w:rsidR="000A7B95" w:rsidRPr="0BB0A80F">
        <w:rPr>
          <w:rFonts w:ascii="Calibri" w:eastAsiaTheme="minorEastAsia" w:hAnsi="Calibri" w:cs="Calibri"/>
        </w:rPr>
        <w:t xml:space="preserve"> </w:t>
      </w:r>
      <w:r w:rsidR="00A04DF4" w:rsidRPr="0BB0A80F">
        <w:rPr>
          <w:rFonts w:ascii="Calibri" w:eastAsiaTheme="minorEastAsia" w:hAnsi="Calibri" w:cs="Calibri"/>
        </w:rPr>
        <w:t xml:space="preserve">the funds </w:t>
      </w:r>
      <w:r w:rsidR="000A7B95" w:rsidRPr="0BB0A80F">
        <w:rPr>
          <w:rFonts w:ascii="Calibri" w:eastAsiaTheme="minorEastAsia" w:hAnsi="Calibri" w:cs="Calibri"/>
        </w:rPr>
        <w:t xml:space="preserve">can only be used once the </w:t>
      </w:r>
      <w:r w:rsidR="00B97067" w:rsidRPr="0BB0A80F">
        <w:rPr>
          <w:rFonts w:ascii="Calibri" w:eastAsiaTheme="minorEastAsia" w:hAnsi="Calibri" w:cs="Calibri"/>
        </w:rPr>
        <w:t xml:space="preserve">individual </w:t>
      </w:r>
      <w:r w:rsidR="001B7098" w:rsidRPr="0BB0A80F">
        <w:rPr>
          <w:rFonts w:ascii="Calibri" w:eastAsiaTheme="minorEastAsia" w:hAnsi="Calibri" w:cs="Calibri"/>
        </w:rPr>
        <w:t>enters</w:t>
      </w:r>
      <w:r w:rsidR="00B97067" w:rsidRPr="0BB0A80F">
        <w:rPr>
          <w:rFonts w:ascii="Calibri" w:eastAsiaTheme="minorEastAsia" w:hAnsi="Calibri" w:cs="Calibri"/>
        </w:rPr>
        <w:t xml:space="preserve"> employment</w:t>
      </w:r>
      <w:r w:rsidR="00645DFB" w:rsidRPr="0BB0A80F">
        <w:rPr>
          <w:rFonts w:ascii="Calibri" w:eastAsiaTheme="minorEastAsia" w:hAnsi="Calibri" w:cs="Calibri"/>
        </w:rPr>
        <w:t xml:space="preserve">. </w:t>
      </w:r>
      <w:r w:rsidR="006011B1" w:rsidRPr="0BB0A80F">
        <w:rPr>
          <w:rFonts w:ascii="Calibri" w:eastAsiaTheme="minorEastAsia" w:hAnsi="Calibri" w:cs="Calibri"/>
        </w:rPr>
        <w:t>Y</w:t>
      </w:r>
      <w:r w:rsidR="00645DFB" w:rsidRPr="0BB0A80F">
        <w:rPr>
          <w:rFonts w:ascii="Calibri" w:eastAsiaTheme="minorEastAsia" w:hAnsi="Calibri" w:cs="Calibri"/>
        </w:rPr>
        <w:t xml:space="preserve">outh </w:t>
      </w:r>
      <w:r w:rsidR="0085646D" w:rsidRPr="0BB0A80F">
        <w:rPr>
          <w:rFonts w:ascii="Calibri" w:eastAsiaTheme="minorEastAsia" w:hAnsi="Calibri" w:cs="Calibri"/>
        </w:rPr>
        <w:t>with significant disabilities</w:t>
      </w:r>
      <w:r w:rsidR="006011B1" w:rsidRPr="0BB0A80F">
        <w:rPr>
          <w:rFonts w:ascii="Calibri" w:eastAsiaTheme="minorEastAsia" w:hAnsi="Calibri" w:cs="Calibri"/>
        </w:rPr>
        <w:t xml:space="preserve"> often require more in-depth and comprehensive training</w:t>
      </w:r>
      <w:r w:rsidR="00971CA3" w:rsidRPr="0BB0A80F">
        <w:rPr>
          <w:rFonts w:ascii="Calibri" w:eastAsiaTheme="minorEastAsia" w:hAnsi="Calibri" w:cs="Calibri"/>
        </w:rPr>
        <w:t xml:space="preserve"> before they are able</w:t>
      </w:r>
      <w:r w:rsidR="001B7098" w:rsidRPr="0BB0A80F">
        <w:rPr>
          <w:rFonts w:ascii="Calibri" w:eastAsiaTheme="minorEastAsia" w:hAnsi="Calibri" w:cs="Calibri"/>
        </w:rPr>
        <w:t xml:space="preserve"> and ready</w:t>
      </w:r>
      <w:r w:rsidR="00971CA3" w:rsidRPr="0BB0A80F">
        <w:rPr>
          <w:rFonts w:ascii="Calibri" w:eastAsiaTheme="minorEastAsia" w:hAnsi="Calibri" w:cs="Calibri"/>
        </w:rPr>
        <w:t xml:space="preserve"> to </w:t>
      </w:r>
      <w:r w:rsidR="001B7098" w:rsidRPr="0BB0A80F">
        <w:rPr>
          <w:rFonts w:ascii="Calibri" w:eastAsiaTheme="minorEastAsia" w:hAnsi="Calibri" w:cs="Calibri"/>
        </w:rPr>
        <w:t>enter into employment</w:t>
      </w:r>
      <w:r w:rsidR="006D30BC" w:rsidRPr="0BB0A80F">
        <w:rPr>
          <w:rFonts w:ascii="Calibri" w:eastAsiaTheme="minorEastAsia" w:hAnsi="Calibri" w:cs="Calibri"/>
        </w:rPr>
        <w:t>; therefore</w:t>
      </w:r>
      <w:r w:rsidR="00AB2A9D" w:rsidRPr="0BB0A80F">
        <w:rPr>
          <w:rFonts w:ascii="Calibri" w:eastAsiaTheme="minorEastAsia" w:hAnsi="Calibri" w:cs="Calibri"/>
        </w:rPr>
        <w:t>, they are often over the age of 25 by the time t</w:t>
      </w:r>
      <w:r w:rsidR="005576BA" w:rsidRPr="0BB0A80F">
        <w:rPr>
          <w:rFonts w:ascii="Calibri" w:eastAsiaTheme="minorEastAsia" w:hAnsi="Calibri" w:cs="Calibri"/>
        </w:rPr>
        <w:t>his occurs.</w:t>
      </w:r>
      <w:r w:rsidR="00A04DF4" w:rsidRPr="0BB0A80F">
        <w:rPr>
          <w:rFonts w:ascii="Calibri" w:eastAsiaTheme="minorEastAsia" w:hAnsi="Calibri" w:cs="Calibri"/>
        </w:rPr>
        <w:t xml:space="preserve"> Should there be flexibility on when the funds can be used and </w:t>
      </w:r>
      <w:r w:rsidR="008C1834" w:rsidRPr="0BB0A80F">
        <w:rPr>
          <w:rFonts w:ascii="Calibri" w:eastAsiaTheme="minorEastAsia" w:hAnsi="Calibri" w:cs="Calibri"/>
        </w:rPr>
        <w:t xml:space="preserve">a change to </w:t>
      </w:r>
      <w:r w:rsidR="00A7576E" w:rsidRPr="0BB0A80F">
        <w:rPr>
          <w:rFonts w:ascii="Calibri" w:eastAsiaTheme="minorEastAsia" w:hAnsi="Calibri" w:cs="Calibri"/>
        </w:rPr>
        <w:t xml:space="preserve">the </w:t>
      </w:r>
      <w:r w:rsidR="008C1834" w:rsidRPr="0BB0A80F">
        <w:rPr>
          <w:rFonts w:ascii="Calibri" w:eastAsiaTheme="minorEastAsia" w:hAnsi="Calibri" w:cs="Calibri"/>
        </w:rPr>
        <w:t xml:space="preserve">supported </w:t>
      </w:r>
      <w:r w:rsidR="00A7576E" w:rsidRPr="0BB0A80F">
        <w:rPr>
          <w:rFonts w:ascii="Calibri" w:eastAsiaTheme="minorEastAsia" w:hAnsi="Calibri" w:cs="Calibri"/>
        </w:rPr>
        <w:t xml:space="preserve">youth matching requirements, SSB will revisit declining funds. </w:t>
      </w:r>
    </w:p>
    <w:p w14:paraId="50549CCE" w14:textId="77777777" w:rsidR="00D0706C" w:rsidRPr="006C6124" w:rsidRDefault="00D0706C">
      <w:pPr>
        <w:numPr>
          <w:ilvl w:val="0"/>
          <w:numId w:val="15"/>
        </w:numPr>
        <w:spacing w:before="240" w:after="5" w:line="250" w:lineRule="auto"/>
        <w:ind w:right="51"/>
        <w:contextualSpacing/>
        <w:outlineLvl w:val="0"/>
        <w:rPr>
          <w:rFonts w:ascii="Calibri" w:eastAsiaTheme="minorEastAsia" w:hAnsi="Calibri" w:cs="Calibri"/>
        </w:rPr>
      </w:pPr>
      <w:r w:rsidRPr="006C6124">
        <w:rPr>
          <w:rFonts w:ascii="Calibri" w:eastAsiaTheme="minorEastAsia" w:hAnsi="Calibri" w:cs="Calibri"/>
        </w:rPr>
        <w:t xml:space="preserve">Individuals with disabilities who are minorities and individuals with disabilities who have been unserved or underserved by the VR program; </w:t>
      </w:r>
    </w:p>
    <w:p w14:paraId="59107C47" w14:textId="1A0A3918" w:rsidR="00D0706C" w:rsidRPr="006C6124" w:rsidRDefault="00D0706C" w:rsidP="00D0706C">
      <w:pPr>
        <w:spacing w:before="240"/>
        <w:ind w:left="864" w:firstLine="144"/>
        <w:contextualSpacing/>
        <w:outlineLvl w:val="0"/>
        <w:rPr>
          <w:rFonts w:ascii="Calibri" w:eastAsiaTheme="minorEastAsia" w:hAnsi="Calibri" w:cs="Calibri"/>
        </w:rPr>
      </w:pPr>
    </w:p>
    <w:p w14:paraId="18C636D3" w14:textId="29E60444" w:rsidR="4F01BA1C" w:rsidRDefault="4F01BA1C" w:rsidP="4F01BA1C">
      <w:pPr>
        <w:rPr>
          <w:rFonts w:eastAsiaTheme="minorEastAsia"/>
        </w:rPr>
      </w:pPr>
    </w:p>
    <w:p w14:paraId="5AD910B1" w14:textId="6F8266FC" w:rsidR="231FFF58" w:rsidRDefault="00AA14F2" w:rsidP="18273305">
      <w:pPr>
        <w:rPr>
          <w:rFonts w:eastAsiaTheme="minorEastAsia"/>
        </w:rPr>
      </w:pPr>
      <w:r w:rsidRPr="18273305">
        <w:rPr>
          <w:rFonts w:eastAsiaTheme="minorEastAsia"/>
        </w:rPr>
        <w:t xml:space="preserve">The </w:t>
      </w:r>
      <w:r w:rsidR="00E6627B" w:rsidRPr="18273305">
        <w:rPr>
          <w:rFonts w:eastAsiaTheme="minorEastAsia"/>
        </w:rPr>
        <w:t>Department of Administration</w:t>
      </w:r>
      <w:r w:rsidR="00EA1F96" w:rsidRPr="18273305">
        <w:rPr>
          <w:rFonts w:eastAsiaTheme="minorEastAsia"/>
        </w:rPr>
        <w:t>,</w:t>
      </w:r>
      <w:r w:rsidR="00E6627B" w:rsidRPr="18273305">
        <w:rPr>
          <w:rFonts w:eastAsiaTheme="minorEastAsia"/>
        </w:rPr>
        <w:t xml:space="preserve"> </w:t>
      </w:r>
      <w:r w:rsidR="231FFF58" w:rsidRPr="18273305">
        <w:rPr>
          <w:rFonts w:eastAsiaTheme="minorEastAsia"/>
        </w:rPr>
        <w:t xml:space="preserve">Minnesota State Demographic Center </w:t>
      </w:r>
      <w:r w:rsidR="00B042D9" w:rsidRPr="18273305">
        <w:rPr>
          <w:rFonts w:eastAsiaTheme="minorEastAsia"/>
        </w:rPr>
        <w:t>released</w:t>
      </w:r>
      <w:r w:rsidR="006E1655" w:rsidRPr="18273305">
        <w:rPr>
          <w:rFonts w:eastAsiaTheme="minorEastAsia"/>
        </w:rPr>
        <w:t xml:space="preserve"> </w:t>
      </w:r>
      <w:hyperlink r:id="rId9">
        <w:r w:rsidR="231FFF58" w:rsidRPr="18273305">
          <w:rPr>
            <w:rStyle w:val="Hyperlink"/>
            <w:rFonts w:eastAsiaTheme="minorEastAsia"/>
            <w:i/>
            <w:iCs/>
          </w:rPr>
          <w:t xml:space="preserve">The Economic Status of Minnesotans 2023, </w:t>
        </w:r>
        <w:r w:rsidR="231FFF58" w:rsidRPr="18273305">
          <w:rPr>
            <w:rStyle w:val="Hyperlink"/>
            <w:rFonts w:eastAsiaTheme="minorEastAsia"/>
          </w:rPr>
          <w:t>A Chartbook with Data for Minnesota’s Largest Cultural Groups</w:t>
        </w:r>
      </w:hyperlink>
      <w:r w:rsidR="231FFF58" w:rsidRPr="18273305">
        <w:rPr>
          <w:rFonts w:eastAsiaTheme="minorEastAsia"/>
        </w:rPr>
        <w:t xml:space="preserve">, </w:t>
      </w:r>
      <w:r w:rsidR="00B0481B" w:rsidRPr="18273305">
        <w:rPr>
          <w:rFonts w:eastAsiaTheme="minorEastAsia"/>
        </w:rPr>
        <w:t xml:space="preserve">in </w:t>
      </w:r>
      <w:r w:rsidR="231FFF58" w:rsidRPr="18273305">
        <w:rPr>
          <w:rFonts w:eastAsiaTheme="minorEastAsia"/>
        </w:rPr>
        <w:t>March 2023.</w:t>
      </w:r>
      <w:r w:rsidR="007C0461" w:rsidRPr="18273305">
        <w:rPr>
          <w:rFonts w:eastAsiaTheme="minorEastAsia"/>
        </w:rPr>
        <w:t xml:space="preserve"> </w:t>
      </w:r>
      <w:r w:rsidR="231FFF58">
        <w:br/>
      </w:r>
      <w:r w:rsidR="00EA3472" w:rsidRPr="18273305">
        <w:rPr>
          <w:rFonts w:eastAsiaTheme="minorEastAsia"/>
        </w:rPr>
        <w:t>Th</w:t>
      </w:r>
      <w:r w:rsidR="00B80499" w:rsidRPr="18273305">
        <w:rPr>
          <w:rFonts w:eastAsiaTheme="minorEastAsia"/>
        </w:rPr>
        <w:t>e</w:t>
      </w:r>
      <w:r w:rsidR="00EA3472" w:rsidRPr="18273305">
        <w:rPr>
          <w:rFonts w:eastAsiaTheme="minorEastAsia"/>
        </w:rPr>
        <w:t xml:space="preserve"> report</w:t>
      </w:r>
      <w:r w:rsidR="00AC351B" w:rsidRPr="18273305">
        <w:rPr>
          <w:rFonts w:eastAsiaTheme="minorEastAsia"/>
        </w:rPr>
        <w:t xml:space="preserve"> presents</w:t>
      </w:r>
      <w:r w:rsidR="00A260A1" w:rsidRPr="18273305">
        <w:rPr>
          <w:rFonts w:eastAsiaTheme="minorEastAsia"/>
        </w:rPr>
        <w:t xml:space="preserve"> newly tabulated </w:t>
      </w:r>
      <w:r w:rsidR="00492CE0" w:rsidRPr="18273305">
        <w:rPr>
          <w:rFonts w:eastAsiaTheme="minorEastAsia"/>
        </w:rPr>
        <w:t>data</w:t>
      </w:r>
      <w:r w:rsidR="0007710F" w:rsidRPr="18273305">
        <w:rPr>
          <w:rFonts w:eastAsiaTheme="minorEastAsia"/>
        </w:rPr>
        <w:t xml:space="preserve"> about </w:t>
      </w:r>
      <w:r w:rsidR="00607C2C" w:rsidRPr="18273305">
        <w:rPr>
          <w:rFonts w:eastAsiaTheme="minorEastAsia"/>
        </w:rPr>
        <w:t xml:space="preserve">the economic conditions and considerations </w:t>
      </w:r>
      <w:r w:rsidR="003B4330" w:rsidRPr="18273305">
        <w:rPr>
          <w:rFonts w:eastAsiaTheme="minorEastAsia"/>
        </w:rPr>
        <w:t>of Minnesotans as a whole</w:t>
      </w:r>
      <w:r w:rsidR="0094307A" w:rsidRPr="18273305">
        <w:rPr>
          <w:rFonts w:eastAsiaTheme="minorEastAsia"/>
        </w:rPr>
        <w:t xml:space="preserve">, </w:t>
      </w:r>
      <w:r w:rsidR="00CC302C" w:rsidRPr="18273305">
        <w:rPr>
          <w:rFonts w:eastAsiaTheme="minorEastAsia"/>
        </w:rPr>
        <w:t xml:space="preserve">as well as 17 more refined cultural groups, </w:t>
      </w:r>
      <w:r w:rsidR="000E02DB" w:rsidRPr="18273305">
        <w:rPr>
          <w:rFonts w:eastAsiaTheme="minorEastAsia"/>
        </w:rPr>
        <w:t xml:space="preserve">to help policymakers and </w:t>
      </w:r>
      <w:r w:rsidR="00F34794" w:rsidRPr="18273305">
        <w:rPr>
          <w:rFonts w:eastAsiaTheme="minorEastAsia"/>
        </w:rPr>
        <w:t>the public</w:t>
      </w:r>
      <w:r w:rsidR="00C521D7" w:rsidRPr="18273305">
        <w:rPr>
          <w:rFonts w:eastAsiaTheme="minorEastAsia"/>
        </w:rPr>
        <w:t xml:space="preserve"> understand </w:t>
      </w:r>
      <w:r w:rsidR="00DC46DF" w:rsidRPr="18273305">
        <w:rPr>
          <w:rFonts w:eastAsiaTheme="minorEastAsia"/>
        </w:rPr>
        <w:t>and improve</w:t>
      </w:r>
      <w:r w:rsidR="005D2B56" w:rsidRPr="18273305">
        <w:rPr>
          <w:rFonts w:eastAsiaTheme="minorEastAsia"/>
        </w:rPr>
        <w:t xml:space="preserve"> the economic conditions</w:t>
      </w:r>
      <w:r w:rsidR="00300447" w:rsidRPr="18273305">
        <w:rPr>
          <w:rFonts w:eastAsiaTheme="minorEastAsia"/>
        </w:rPr>
        <w:t xml:space="preserve"> for </w:t>
      </w:r>
      <w:r w:rsidR="0034577B" w:rsidRPr="18273305">
        <w:rPr>
          <w:rFonts w:eastAsiaTheme="minorEastAsia"/>
        </w:rPr>
        <w:t>Minnesota’s residents.</w:t>
      </w:r>
      <w:r w:rsidR="001D7644" w:rsidRPr="18273305">
        <w:rPr>
          <w:rFonts w:eastAsiaTheme="minorEastAsia"/>
        </w:rPr>
        <w:t xml:space="preserve"> The report is e</w:t>
      </w:r>
      <w:r w:rsidR="00C1743E" w:rsidRPr="18273305">
        <w:rPr>
          <w:rFonts w:eastAsiaTheme="minorEastAsia"/>
        </w:rPr>
        <w:t xml:space="preserve">specially </w:t>
      </w:r>
      <w:r w:rsidR="001A3263" w:rsidRPr="18273305">
        <w:rPr>
          <w:rFonts w:eastAsiaTheme="minorEastAsia"/>
        </w:rPr>
        <w:t xml:space="preserve">helpful in that </w:t>
      </w:r>
      <w:r w:rsidR="00E31DB2" w:rsidRPr="18273305">
        <w:rPr>
          <w:rFonts w:eastAsiaTheme="minorEastAsia"/>
        </w:rPr>
        <w:t xml:space="preserve">it provides </w:t>
      </w:r>
      <w:r w:rsidR="00F65D64" w:rsidRPr="18273305">
        <w:rPr>
          <w:rFonts w:eastAsiaTheme="minorEastAsia"/>
        </w:rPr>
        <w:t xml:space="preserve">data </w:t>
      </w:r>
      <w:r w:rsidR="00866004" w:rsidRPr="18273305">
        <w:rPr>
          <w:rFonts w:eastAsiaTheme="minorEastAsia"/>
        </w:rPr>
        <w:t xml:space="preserve">on </w:t>
      </w:r>
      <w:r w:rsidR="0001308A" w:rsidRPr="18273305">
        <w:rPr>
          <w:rFonts w:eastAsiaTheme="minorEastAsia"/>
        </w:rPr>
        <w:t>cultural groups specific to M</w:t>
      </w:r>
      <w:r w:rsidR="003E108B" w:rsidRPr="18273305">
        <w:rPr>
          <w:rFonts w:eastAsiaTheme="minorEastAsia"/>
        </w:rPr>
        <w:t>innesota</w:t>
      </w:r>
      <w:r w:rsidR="0001308A" w:rsidRPr="18273305">
        <w:rPr>
          <w:rFonts w:eastAsiaTheme="minorEastAsia"/>
        </w:rPr>
        <w:t xml:space="preserve"> that are more refined th</w:t>
      </w:r>
      <w:r w:rsidR="00D11080" w:rsidRPr="18273305">
        <w:rPr>
          <w:rFonts w:eastAsiaTheme="minorEastAsia"/>
        </w:rPr>
        <w:t>an the standard racial groups used by the Census Bureau which are too broad</w:t>
      </w:r>
      <w:r w:rsidR="00634ED3" w:rsidRPr="18273305">
        <w:rPr>
          <w:rFonts w:eastAsiaTheme="minorEastAsia"/>
        </w:rPr>
        <w:t xml:space="preserve"> and may not be relevant to </w:t>
      </w:r>
      <w:r w:rsidR="007D14F5" w:rsidRPr="18273305">
        <w:rPr>
          <w:rFonts w:eastAsiaTheme="minorEastAsia"/>
        </w:rPr>
        <w:t>our state</w:t>
      </w:r>
      <w:r w:rsidR="00634ED3" w:rsidRPr="18273305">
        <w:rPr>
          <w:rFonts w:eastAsiaTheme="minorEastAsia"/>
        </w:rPr>
        <w:t xml:space="preserve">. </w:t>
      </w:r>
      <w:r w:rsidR="00DC46DF" w:rsidRPr="18273305">
        <w:rPr>
          <w:rFonts w:eastAsiaTheme="minorEastAsia"/>
        </w:rPr>
        <w:t xml:space="preserve"> </w:t>
      </w:r>
    </w:p>
    <w:p w14:paraId="0736A018" w14:textId="77777777" w:rsidR="001D3797" w:rsidRDefault="001D3797" w:rsidP="333B87A2">
      <w:pPr>
        <w:rPr>
          <w:rFonts w:eastAsiaTheme="minorEastAsia"/>
        </w:rPr>
      </w:pPr>
    </w:p>
    <w:p w14:paraId="18B98949" w14:textId="569BC522" w:rsidR="0088414F" w:rsidRDefault="000F5E44" w:rsidP="333B87A2">
      <w:pPr>
        <w:rPr>
          <w:rFonts w:eastAsiaTheme="minorEastAsia"/>
        </w:rPr>
      </w:pPr>
      <w:r>
        <w:rPr>
          <w:rFonts w:eastAsiaTheme="minorEastAsia"/>
        </w:rPr>
        <w:t xml:space="preserve">Although 78.2% of the population of Minnesota is white, </w:t>
      </w:r>
      <w:r w:rsidR="00D14C4C">
        <w:rPr>
          <w:rFonts w:eastAsiaTheme="minorEastAsia"/>
        </w:rPr>
        <w:t>there is a diversity o</w:t>
      </w:r>
      <w:r w:rsidR="003273A1">
        <w:rPr>
          <w:rFonts w:eastAsiaTheme="minorEastAsia"/>
        </w:rPr>
        <w:t>f cultural groups</w:t>
      </w:r>
      <w:r>
        <w:rPr>
          <w:rFonts w:eastAsiaTheme="minorEastAsia"/>
        </w:rPr>
        <w:t>.</w:t>
      </w:r>
      <w:r w:rsidR="00DB1E9E">
        <w:rPr>
          <w:rFonts w:eastAsiaTheme="minorEastAsia"/>
        </w:rPr>
        <w:t xml:space="preserve"> </w:t>
      </w:r>
      <w:r w:rsidR="00C23E2D">
        <w:rPr>
          <w:rFonts w:eastAsiaTheme="minorEastAsia"/>
        </w:rPr>
        <w:t xml:space="preserve">In </w:t>
      </w:r>
      <w:r w:rsidR="007D5212">
        <w:rPr>
          <w:rFonts w:eastAsiaTheme="minorEastAsia"/>
        </w:rPr>
        <w:t xml:space="preserve">reviewing Table: Minnesota’s Largest Cultural Groups </w:t>
      </w:r>
      <w:r w:rsidR="00C7557A">
        <w:rPr>
          <w:rFonts w:eastAsiaTheme="minorEastAsia"/>
        </w:rPr>
        <w:t xml:space="preserve">in the report, </w:t>
      </w:r>
      <w:r w:rsidR="00021F22">
        <w:rPr>
          <w:rFonts w:eastAsiaTheme="minorEastAsia"/>
        </w:rPr>
        <w:t>the top</w:t>
      </w:r>
      <w:r w:rsidR="00915A0E">
        <w:rPr>
          <w:rFonts w:eastAsiaTheme="minorEastAsia"/>
        </w:rPr>
        <w:t xml:space="preserve"> </w:t>
      </w:r>
      <w:r w:rsidR="005A13D0">
        <w:rPr>
          <w:rFonts w:eastAsiaTheme="minorEastAsia"/>
        </w:rPr>
        <w:t xml:space="preserve">5 </w:t>
      </w:r>
      <w:r w:rsidR="00DC3171">
        <w:rPr>
          <w:rFonts w:eastAsiaTheme="minorEastAsia"/>
        </w:rPr>
        <w:t>cultural groups</w:t>
      </w:r>
      <w:r w:rsidR="00796AE3">
        <w:rPr>
          <w:rFonts w:eastAsiaTheme="minorEastAsia"/>
        </w:rPr>
        <w:t>,</w:t>
      </w:r>
      <w:r w:rsidR="00DC3171">
        <w:rPr>
          <w:rFonts w:eastAsiaTheme="minorEastAsia"/>
        </w:rPr>
        <w:t xml:space="preserve"> </w:t>
      </w:r>
      <w:r w:rsidR="00796AE3">
        <w:rPr>
          <w:rFonts w:eastAsiaTheme="minorEastAsia"/>
        </w:rPr>
        <w:t xml:space="preserve">other than White, </w:t>
      </w:r>
      <w:r w:rsidR="006C288A">
        <w:rPr>
          <w:rFonts w:eastAsiaTheme="minorEastAsia"/>
        </w:rPr>
        <w:t>with the highest percent</w:t>
      </w:r>
      <w:r w:rsidR="00BD141B">
        <w:rPr>
          <w:rFonts w:eastAsiaTheme="minorEastAsia"/>
        </w:rPr>
        <w:t>age</w:t>
      </w:r>
      <w:r w:rsidR="006C288A">
        <w:rPr>
          <w:rFonts w:eastAsiaTheme="minorEastAsia"/>
        </w:rPr>
        <w:t xml:space="preserve"> of the MN population </w:t>
      </w:r>
      <w:r w:rsidR="008306E3">
        <w:rPr>
          <w:rFonts w:eastAsiaTheme="minorEastAsia"/>
        </w:rPr>
        <w:t xml:space="preserve">and people </w:t>
      </w:r>
      <w:r w:rsidR="0093385A">
        <w:rPr>
          <w:rFonts w:eastAsiaTheme="minorEastAsia"/>
        </w:rPr>
        <w:t xml:space="preserve">can be found in the table below. </w:t>
      </w:r>
    </w:p>
    <w:p w14:paraId="3549C79D" w14:textId="77777777" w:rsidR="007D49EA" w:rsidRDefault="007D49EA" w:rsidP="333B87A2">
      <w:pPr>
        <w:rPr>
          <w:rFonts w:eastAsiaTheme="minorEastAsia"/>
        </w:rPr>
      </w:pPr>
    </w:p>
    <w:p w14:paraId="5EC1B0F5" w14:textId="307182F6" w:rsidR="004960A9" w:rsidRDefault="00665725" w:rsidP="333B87A2">
      <w:pPr>
        <w:rPr>
          <w:rFonts w:eastAsiaTheme="minorEastAsia"/>
        </w:rPr>
      </w:pPr>
      <w:r>
        <w:rPr>
          <w:rFonts w:eastAsiaTheme="minorEastAsia"/>
        </w:rPr>
        <w:t>The category of “</w:t>
      </w:r>
      <w:r w:rsidR="004960A9">
        <w:rPr>
          <w:rFonts w:eastAsiaTheme="minorEastAsia"/>
        </w:rPr>
        <w:t>Multiple Cultural Groups</w:t>
      </w:r>
      <w:r>
        <w:rPr>
          <w:rFonts w:eastAsiaTheme="minorEastAsia"/>
        </w:rPr>
        <w:t xml:space="preserve">” includes people belonging to more than one of these 17 cultural groups; Dakota, Ojibwe, Asian Indian, Chinese, Filipino, Hmong, Korean, Lao, Vietnamese, African-American, Ethiopian, </w:t>
      </w:r>
      <w:r>
        <w:rPr>
          <w:rFonts w:eastAsiaTheme="minorEastAsia"/>
        </w:rPr>
        <w:lastRenderedPageBreak/>
        <w:t xml:space="preserve">Liberian, Somali, Mexican, Puerto Rican, Russian, and White. Additionally, the “African-American” cultural group that was constructed consists of only U.S. born Black/African-American individuals and their children.  </w:t>
      </w:r>
    </w:p>
    <w:p w14:paraId="0F471D44" w14:textId="77777777" w:rsidR="004960A9" w:rsidRDefault="004960A9" w:rsidP="333B87A2">
      <w:pPr>
        <w:rPr>
          <w:rFonts w:eastAsiaTheme="minorEastAsia"/>
        </w:rPr>
      </w:pPr>
    </w:p>
    <w:tbl>
      <w:tblPr>
        <w:tblStyle w:val="TableGrid"/>
        <w:tblW w:w="8688" w:type="dxa"/>
        <w:tblLook w:val="04A0" w:firstRow="1" w:lastRow="0" w:firstColumn="1" w:lastColumn="0" w:noHBand="0" w:noVBand="1"/>
      </w:tblPr>
      <w:tblGrid>
        <w:gridCol w:w="2620"/>
        <w:gridCol w:w="2533"/>
        <w:gridCol w:w="2010"/>
        <w:gridCol w:w="1525"/>
      </w:tblGrid>
      <w:tr w:rsidR="005F7A22" w:rsidRPr="00765C24" w14:paraId="54A84F13" w14:textId="39BA2FEC" w:rsidTr="61B31C6B">
        <w:trPr>
          <w:trHeight w:val="432"/>
          <w:tblHeader/>
        </w:trPr>
        <w:tc>
          <w:tcPr>
            <w:tcW w:w="2620" w:type="dxa"/>
          </w:tcPr>
          <w:p w14:paraId="6682D725" w14:textId="34A4310F" w:rsidR="004960A9" w:rsidRPr="00765C24" w:rsidRDefault="004960A9" w:rsidP="333B87A2">
            <w:pPr>
              <w:rPr>
                <w:rFonts w:eastAsiaTheme="minorEastAsia"/>
                <w:b/>
                <w:bCs/>
              </w:rPr>
            </w:pPr>
            <w:r w:rsidRPr="00765C24">
              <w:rPr>
                <w:rFonts w:eastAsiaTheme="minorEastAsia"/>
                <w:b/>
                <w:bCs/>
              </w:rPr>
              <w:t>Racial or Ethnic Group</w:t>
            </w:r>
          </w:p>
        </w:tc>
        <w:tc>
          <w:tcPr>
            <w:tcW w:w="2533" w:type="dxa"/>
          </w:tcPr>
          <w:p w14:paraId="448497CF" w14:textId="0FFBDDF3" w:rsidR="004960A9" w:rsidRPr="00765C24" w:rsidRDefault="004960A9" w:rsidP="333B87A2">
            <w:pPr>
              <w:rPr>
                <w:rFonts w:eastAsiaTheme="minorEastAsia"/>
                <w:b/>
                <w:bCs/>
              </w:rPr>
            </w:pPr>
            <w:r w:rsidRPr="00765C24">
              <w:rPr>
                <w:rFonts w:eastAsiaTheme="minorEastAsia"/>
                <w:b/>
                <w:bCs/>
              </w:rPr>
              <w:t>Cultural Group</w:t>
            </w:r>
          </w:p>
        </w:tc>
        <w:tc>
          <w:tcPr>
            <w:tcW w:w="2010" w:type="dxa"/>
          </w:tcPr>
          <w:p w14:paraId="2DC0B339" w14:textId="28CF1AA6" w:rsidR="004960A9" w:rsidRPr="00765C24" w:rsidRDefault="004960A9" w:rsidP="333B87A2">
            <w:pPr>
              <w:rPr>
                <w:rFonts w:eastAsiaTheme="minorEastAsia"/>
                <w:b/>
                <w:bCs/>
              </w:rPr>
            </w:pPr>
            <w:r w:rsidRPr="00765C24">
              <w:rPr>
                <w:rFonts w:eastAsiaTheme="minorEastAsia"/>
                <w:b/>
                <w:bCs/>
              </w:rPr>
              <w:t>Percent of MN Population</w:t>
            </w:r>
          </w:p>
        </w:tc>
        <w:tc>
          <w:tcPr>
            <w:tcW w:w="1525" w:type="dxa"/>
          </w:tcPr>
          <w:p w14:paraId="36CD3C30" w14:textId="5527C284" w:rsidR="004960A9" w:rsidRPr="00765C24" w:rsidRDefault="004960A9" w:rsidP="333B87A2">
            <w:pPr>
              <w:rPr>
                <w:rFonts w:eastAsiaTheme="minorEastAsia"/>
                <w:b/>
                <w:bCs/>
              </w:rPr>
            </w:pPr>
            <w:r w:rsidRPr="00765C24">
              <w:rPr>
                <w:rFonts w:eastAsiaTheme="minorEastAsia"/>
                <w:b/>
                <w:bCs/>
              </w:rPr>
              <w:t>People</w:t>
            </w:r>
          </w:p>
        </w:tc>
      </w:tr>
      <w:tr w:rsidR="005F7A22" w14:paraId="01D9BFC8" w14:textId="2C5F619E" w:rsidTr="61B31C6B">
        <w:tc>
          <w:tcPr>
            <w:tcW w:w="2620" w:type="dxa"/>
          </w:tcPr>
          <w:p w14:paraId="57EE5CAD" w14:textId="2E24B9E3" w:rsidR="004960A9" w:rsidRDefault="004960A9" w:rsidP="333B87A2">
            <w:pPr>
              <w:rPr>
                <w:rFonts w:eastAsiaTheme="minorEastAsia"/>
              </w:rPr>
            </w:pPr>
            <w:r>
              <w:rPr>
                <w:rFonts w:eastAsiaTheme="minorEastAsia"/>
              </w:rPr>
              <w:t>Other/Multiple Groups</w:t>
            </w:r>
          </w:p>
        </w:tc>
        <w:tc>
          <w:tcPr>
            <w:tcW w:w="2533" w:type="dxa"/>
          </w:tcPr>
          <w:p w14:paraId="6E662B57" w14:textId="51FC0A9D" w:rsidR="004960A9" w:rsidRDefault="00765C24" w:rsidP="333B87A2">
            <w:pPr>
              <w:rPr>
                <w:rFonts w:eastAsiaTheme="minorEastAsia"/>
              </w:rPr>
            </w:pPr>
            <w:r>
              <w:rPr>
                <w:rFonts w:eastAsiaTheme="minorEastAsia"/>
              </w:rPr>
              <w:t>*</w:t>
            </w:r>
            <w:r w:rsidR="004960A9">
              <w:rPr>
                <w:rFonts w:eastAsiaTheme="minorEastAsia"/>
              </w:rPr>
              <w:t>Multiple Cultural Groups</w:t>
            </w:r>
          </w:p>
        </w:tc>
        <w:tc>
          <w:tcPr>
            <w:tcW w:w="2010" w:type="dxa"/>
            <w:vAlign w:val="center"/>
          </w:tcPr>
          <w:p w14:paraId="6099A848" w14:textId="1BD29A53" w:rsidR="004960A9" w:rsidRDefault="004960A9" w:rsidP="00765C24">
            <w:pPr>
              <w:jc w:val="center"/>
              <w:rPr>
                <w:rFonts w:eastAsiaTheme="minorEastAsia"/>
              </w:rPr>
            </w:pPr>
            <w:r>
              <w:rPr>
                <w:rFonts w:eastAsiaTheme="minorEastAsia"/>
              </w:rPr>
              <w:t>3.9</w:t>
            </w:r>
          </w:p>
        </w:tc>
        <w:tc>
          <w:tcPr>
            <w:tcW w:w="1525" w:type="dxa"/>
          </w:tcPr>
          <w:p w14:paraId="6230AEBB" w14:textId="01B51721" w:rsidR="004960A9" w:rsidRDefault="004960A9" w:rsidP="333B87A2">
            <w:pPr>
              <w:rPr>
                <w:rFonts w:eastAsiaTheme="minorEastAsia"/>
              </w:rPr>
            </w:pPr>
            <w:r>
              <w:rPr>
                <w:rFonts w:eastAsiaTheme="minorEastAsia"/>
              </w:rPr>
              <w:t>216,300</w:t>
            </w:r>
          </w:p>
        </w:tc>
      </w:tr>
      <w:tr w:rsidR="005F7A22" w14:paraId="77EDE497" w14:textId="4229CE99" w:rsidTr="61B31C6B">
        <w:tc>
          <w:tcPr>
            <w:tcW w:w="2620" w:type="dxa"/>
          </w:tcPr>
          <w:p w14:paraId="199F052B" w14:textId="6F974261" w:rsidR="004960A9" w:rsidRDefault="004960A9" w:rsidP="333B87A2">
            <w:pPr>
              <w:rPr>
                <w:rFonts w:eastAsiaTheme="minorEastAsia"/>
              </w:rPr>
            </w:pPr>
            <w:r>
              <w:rPr>
                <w:rFonts w:eastAsiaTheme="minorEastAsia"/>
              </w:rPr>
              <w:t>Hispanic or Latino</w:t>
            </w:r>
          </w:p>
        </w:tc>
        <w:tc>
          <w:tcPr>
            <w:tcW w:w="2533" w:type="dxa"/>
          </w:tcPr>
          <w:p w14:paraId="04960E3B" w14:textId="61E2897B" w:rsidR="004960A9" w:rsidRDefault="004960A9" w:rsidP="333B87A2">
            <w:pPr>
              <w:rPr>
                <w:rFonts w:eastAsiaTheme="minorEastAsia"/>
              </w:rPr>
            </w:pPr>
            <w:r>
              <w:rPr>
                <w:rFonts w:eastAsiaTheme="minorEastAsia"/>
              </w:rPr>
              <w:t>Mexican</w:t>
            </w:r>
          </w:p>
        </w:tc>
        <w:tc>
          <w:tcPr>
            <w:tcW w:w="2010" w:type="dxa"/>
            <w:vAlign w:val="center"/>
          </w:tcPr>
          <w:p w14:paraId="0BAC9C1E" w14:textId="1B627619" w:rsidR="004960A9" w:rsidRDefault="004960A9" w:rsidP="00765C24">
            <w:pPr>
              <w:jc w:val="center"/>
              <w:rPr>
                <w:rFonts w:eastAsiaTheme="minorEastAsia"/>
              </w:rPr>
            </w:pPr>
            <w:r>
              <w:rPr>
                <w:rFonts w:eastAsiaTheme="minorEastAsia"/>
              </w:rPr>
              <w:t>3.3</w:t>
            </w:r>
          </w:p>
        </w:tc>
        <w:tc>
          <w:tcPr>
            <w:tcW w:w="1525" w:type="dxa"/>
          </w:tcPr>
          <w:p w14:paraId="58E7A80F" w14:textId="080F8B0C" w:rsidR="004960A9" w:rsidRDefault="004960A9" w:rsidP="333B87A2">
            <w:pPr>
              <w:rPr>
                <w:rFonts w:eastAsiaTheme="minorEastAsia"/>
              </w:rPr>
            </w:pPr>
            <w:r>
              <w:rPr>
                <w:rFonts w:eastAsiaTheme="minorEastAsia"/>
              </w:rPr>
              <w:t>186,800</w:t>
            </w:r>
          </w:p>
        </w:tc>
      </w:tr>
      <w:tr w:rsidR="005F7A22" w14:paraId="4E6E9876" w14:textId="2A082B81" w:rsidTr="61B31C6B">
        <w:tc>
          <w:tcPr>
            <w:tcW w:w="2620" w:type="dxa"/>
          </w:tcPr>
          <w:p w14:paraId="7C676FCF" w14:textId="793A9ED7" w:rsidR="004960A9" w:rsidRDefault="00765C24" w:rsidP="333B87A2">
            <w:pPr>
              <w:rPr>
                <w:rFonts w:eastAsiaTheme="minorEastAsia"/>
              </w:rPr>
            </w:pPr>
            <w:r>
              <w:rPr>
                <w:rFonts w:eastAsiaTheme="minorEastAsia"/>
              </w:rPr>
              <w:t>Black or African-Americans</w:t>
            </w:r>
          </w:p>
        </w:tc>
        <w:tc>
          <w:tcPr>
            <w:tcW w:w="2533" w:type="dxa"/>
          </w:tcPr>
          <w:p w14:paraId="27395B40" w14:textId="09A52FD5" w:rsidR="004960A9" w:rsidRDefault="00765C24" w:rsidP="333B87A2">
            <w:pPr>
              <w:rPr>
                <w:rFonts w:eastAsiaTheme="minorEastAsia"/>
              </w:rPr>
            </w:pPr>
            <w:r>
              <w:rPr>
                <w:rFonts w:eastAsiaTheme="minorEastAsia"/>
              </w:rPr>
              <w:t>African-American</w:t>
            </w:r>
          </w:p>
        </w:tc>
        <w:tc>
          <w:tcPr>
            <w:tcW w:w="2010" w:type="dxa"/>
            <w:vAlign w:val="center"/>
          </w:tcPr>
          <w:p w14:paraId="5E6E7440" w14:textId="22C6A902" w:rsidR="004960A9" w:rsidRDefault="00765C24" w:rsidP="00765C24">
            <w:pPr>
              <w:jc w:val="center"/>
              <w:rPr>
                <w:rFonts w:eastAsiaTheme="minorEastAsia"/>
              </w:rPr>
            </w:pPr>
            <w:r>
              <w:rPr>
                <w:rFonts w:eastAsiaTheme="minorEastAsia"/>
              </w:rPr>
              <w:t>3.2</w:t>
            </w:r>
          </w:p>
        </w:tc>
        <w:tc>
          <w:tcPr>
            <w:tcW w:w="1525" w:type="dxa"/>
          </w:tcPr>
          <w:p w14:paraId="1679BE45" w14:textId="1FC69EA8" w:rsidR="004960A9" w:rsidRDefault="00765C24" w:rsidP="333B87A2">
            <w:pPr>
              <w:rPr>
                <w:rFonts w:eastAsiaTheme="minorEastAsia"/>
              </w:rPr>
            </w:pPr>
            <w:r>
              <w:rPr>
                <w:rFonts w:eastAsiaTheme="minorEastAsia"/>
              </w:rPr>
              <w:t>179,800</w:t>
            </w:r>
          </w:p>
        </w:tc>
      </w:tr>
      <w:tr w:rsidR="005F7A22" w14:paraId="273E2315" w14:textId="43365659" w:rsidTr="61B31C6B">
        <w:tc>
          <w:tcPr>
            <w:tcW w:w="2620" w:type="dxa"/>
          </w:tcPr>
          <w:p w14:paraId="03DBBF36" w14:textId="6A871563" w:rsidR="004960A9" w:rsidRDefault="00765C24" w:rsidP="333B87A2">
            <w:pPr>
              <w:rPr>
                <w:rFonts w:eastAsiaTheme="minorEastAsia"/>
              </w:rPr>
            </w:pPr>
            <w:r>
              <w:rPr>
                <w:rFonts w:eastAsiaTheme="minorEastAsia"/>
              </w:rPr>
              <w:t>Asian</w:t>
            </w:r>
          </w:p>
        </w:tc>
        <w:tc>
          <w:tcPr>
            <w:tcW w:w="2533" w:type="dxa"/>
          </w:tcPr>
          <w:p w14:paraId="20433404" w14:textId="6480A440" w:rsidR="004960A9" w:rsidRDefault="00765C24" w:rsidP="333B87A2">
            <w:pPr>
              <w:rPr>
                <w:rFonts w:eastAsiaTheme="minorEastAsia"/>
              </w:rPr>
            </w:pPr>
            <w:r>
              <w:rPr>
                <w:rFonts w:eastAsiaTheme="minorEastAsia"/>
              </w:rPr>
              <w:t>Hmong</w:t>
            </w:r>
          </w:p>
        </w:tc>
        <w:tc>
          <w:tcPr>
            <w:tcW w:w="2010" w:type="dxa"/>
            <w:vAlign w:val="center"/>
          </w:tcPr>
          <w:p w14:paraId="4D2F362C" w14:textId="3D18AE78" w:rsidR="004960A9" w:rsidRDefault="00765C24" w:rsidP="00765C24">
            <w:pPr>
              <w:jc w:val="center"/>
              <w:rPr>
                <w:rFonts w:eastAsiaTheme="minorEastAsia"/>
              </w:rPr>
            </w:pPr>
            <w:r>
              <w:rPr>
                <w:rFonts w:eastAsiaTheme="minorEastAsia"/>
              </w:rPr>
              <w:t>1.6</w:t>
            </w:r>
          </w:p>
        </w:tc>
        <w:tc>
          <w:tcPr>
            <w:tcW w:w="1525" w:type="dxa"/>
          </w:tcPr>
          <w:p w14:paraId="169B5CA4" w14:textId="3A675E79" w:rsidR="004960A9" w:rsidRDefault="00765C24" w:rsidP="333B87A2">
            <w:pPr>
              <w:rPr>
                <w:rFonts w:eastAsiaTheme="minorEastAsia"/>
              </w:rPr>
            </w:pPr>
            <w:r>
              <w:rPr>
                <w:rFonts w:eastAsiaTheme="minorEastAsia"/>
              </w:rPr>
              <w:t>86,6000</w:t>
            </w:r>
          </w:p>
        </w:tc>
      </w:tr>
      <w:tr w:rsidR="005F7A22" w14:paraId="75B554CA" w14:textId="0FCB7304" w:rsidTr="61B31C6B">
        <w:tc>
          <w:tcPr>
            <w:tcW w:w="2620" w:type="dxa"/>
          </w:tcPr>
          <w:p w14:paraId="15D4A217" w14:textId="1A09C12F" w:rsidR="004960A9" w:rsidRDefault="00765C24" w:rsidP="333B87A2">
            <w:pPr>
              <w:rPr>
                <w:rFonts w:eastAsiaTheme="minorEastAsia"/>
              </w:rPr>
            </w:pPr>
            <w:r>
              <w:rPr>
                <w:rFonts w:eastAsiaTheme="minorEastAsia"/>
              </w:rPr>
              <w:t>Black or African-American</w:t>
            </w:r>
          </w:p>
        </w:tc>
        <w:tc>
          <w:tcPr>
            <w:tcW w:w="2533" w:type="dxa"/>
          </w:tcPr>
          <w:p w14:paraId="195B0E72" w14:textId="6976D891" w:rsidR="004960A9" w:rsidRDefault="00765C24" w:rsidP="333B87A2">
            <w:pPr>
              <w:rPr>
                <w:rFonts w:eastAsiaTheme="minorEastAsia"/>
              </w:rPr>
            </w:pPr>
            <w:r>
              <w:rPr>
                <w:rFonts w:eastAsiaTheme="minorEastAsia"/>
              </w:rPr>
              <w:t>Somali</w:t>
            </w:r>
          </w:p>
        </w:tc>
        <w:tc>
          <w:tcPr>
            <w:tcW w:w="2010" w:type="dxa"/>
            <w:vAlign w:val="center"/>
          </w:tcPr>
          <w:p w14:paraId="5545E6D5" w14:textId="79E497F5" w:rsidR="004960A9" w:rsidRDefault="00765C24" w:rsidP="00765C24">
            <w:pPr>
              <w:jc w:val="center"/>
              <w:rPr>
                <w:rFonts w:eastAsiaTheme="minorEastAsia"/>
              </w:rPr>
            </w:pPr>
            <w:r>
              <w:rPr>
                <w:rFonts w:eastAsiaTheme="minorEastAsia"/>
              </w:rPr>
              <w:t>1.4</w:t>
            </w:r>
          </w:p>
        </w:tc>
        <w:tc>
          <w:tcPr>
            <w:tcW w:w="1525" w:type="dxa"/>
          </w:tcPr>
          <w:p w14:paraId="0B081847" w14:textId="16C89991" w:rsidR="004960A9" w:rsidRDefault="00765C24" w:rsidP="333B87A2">
            <w:pPr>
              <w:rPr>
                <w:rFonts w:eastAsiaTheme="minorEastAsia"/>
              </w:rPr>
            </w:pPr>
            <w:r>
              <w:rPr>
                <w:rFonts w:eastAsiaTheme="minorEastAsia"/>
              </w:rPr>
              <w:t>76,200</w:t>
            </w:r>
          </w:p>
        </w:tc>
      </w:tr>
    </w:tbl>
    <w:p w14:paraId="0C91B025" w14:textId="006F1A6D" w:rsidR="004960A9" w:rsidRDefault="004960A9" w:rsidP="333B87A2">
      <w:pPr>
        <w:rPr>
          <w:rFonts w:eastAsiaTheme="minorEastAsia"/>
        </w:rPr>
      </w:pPr>
    </w:p>
    <w:p w14:paraId="41556AF7" w14:textId="5FD70343" w:rsidR="004960A9" w:rsidRDefault="003273A1" w:rsidP="000D5CFE">
      <w:pPr>
        <w:spacing w:after="60"/>
        <w:rPr>
          <w:rFonts w:eastAsiaTheme="minorEastAsia"/>
        </w:rPr>
      </w:pPr>
      <w:r>
        <w:rPr>
          <w:rFonts w:eastAsiaTheme="minorEastAsia"/>
        </w:rPr>
        <w:t>With the diversity in cu</w:t>
      </w:r>
      <w:r w:rsidR="00FE0DC4">
        <w:rPr>
          <w:rFonts w:eastAsiaTheme="minorEastAsia"/>
        </w:rPr>
        <w:t xml:space="preserve">ltural groups in </w:t>
      </w:r>
      <w:r w:rsidR="006713A9">
        <w:rPr>
          <w:rFonts w:eastAsiaTheme="minorEastAsia"/>
        </w:rPr>
        <w:t xml:space="preserve">Minnesota, </w:t>
      </w:r>
      <w:r w:rsidR="00012001">
        <w:rPr>
          <w:rFonts w:eastAsiaTheme="minorEastAsia"/>
        </w:rPr>
        <w:t>t</w:t>
      </w:r>
      <w:r w:rsidR="00933EAF">
        <w:rPr>
          <w:rFonts w:eastAsiaTheme="minorEastAsia"/>
        </w:rPr>
        <w:t>h</w:t>
      </w:r>
      <w:r w:rsidR="004E01C3">
        <w:rPr>
          <w:rFonts w:eastAsiaTheme="minorEastAsia"/>
        </w:rPr>
        <w:t>ere are many languages spoke</w:t>
      </w:r>
      <w:r w:rsidR="00012001">
        <w:rPr>
          <w:rFonts w:eastAsiaTheme="minorEastAsia"/>
        </w:rPr>
        <w:t xml:space="preserve">n </w:t>
      </w:r>
      <w:r w:rsidR="00D92CBF">
        <w:rPr>
          <w:rFonts w:eastAsiaTheme="minorEastAsia"/>
        </w:rPr>
        <w:t xml:space="preserve">other than English. The top </w:t>
      </w:r>
      <w:r w:rsidR="009E556F">
        <w:rPr>
          <w:rFonts w:eastAsiaTheme="minorEastAsia"/>
        </w:rPr>
        <w:t>5 languages</w:t>
      </w:r>
      <w:r w:rsidR="00BD141B">
        <w:rPr>
          <w:rFonts w:eastAsiaTheme="minorEastAsia"/>
        </w:rPr>
        <w:t>,</w:t>
      </w:r>
      <w:r w:rsidR="005E0156">
        <w:rPr>
          <w:rFonts w:eastAsiaTheme="minorEastAsia"/>
        </w:rPr>
        <w:t xml:space="preserve"> not includ</w:t>
      </w:r>
      <w:r w:rsidR="003163AE">
        <w:rPr>
          <w:rFonts w:eastAsiaTheme="minorEastAsia"/>
        </w:rPr>
        <w:t>ing E</w:t>
      </w:r>
      <w:r w:rsidR="00BD491C">
        <w:rPr>
          <w:rFonts w:eastAsiaTheme="minorEastAsia"/>
        </w:rPr>
        <w:t>nglish</w:t>
      </w:r>
      <w:r w:rsidR="00BD141B">
        <w:rPr>
          <w:rFonts w:eastAsiaTheme="minorEastAsia"/>
        </w:rPr>
        <w:t>,</w:t>
      </w:r>
      <w:r w:rsidR="009E556F">
        <w:rPr>
          <w:rFonts w:eastAsiaTheme="minorEastAsia"/>
        </w:rPr>
        <w:t xml:space="preserve"> spoke</w:t>
      </w:r>
      <w:r w:rsidR="002A4473">
        <w:rPr>
          <w:rFonts w:eastAsiaTheme="minorEastAsia"/>
        </w:rPr>
        <w:t xml:space="preserve">n in Minnesota </w:t>
      </w:r>
      <w:r w:rsidR="00D61254">
        <w:rPr>
          <w:rFonts w:eastAsiaTheme="minorEastAsia"/>
        </w:rPr>
        <w:t>are:</w:t>
      </w:r>
      <w:r w:rsidR="004E01C3">
        <w:rPr>
          <w:rFonts w:eastAsiaTheme="minorEastAsia"/>
        </w:rPr>
        <w:t xml:space="preserve"> </w:t>
      </w:r>
    </w:p>
    <w:p w14:paraId="7CC1D2AE" w14:textId="692E0769" w:rsidR="00A241CD" w:rsidRDefault="00A241CD" w:rsidP="005F7A22">
      <w:pPr>
        <w:pStyle w:val="ListParagraph"/>
        <w:numPr>
          <w:ilvl w:val="0"/>
          <w:numId w:val="66"/>
        </w:numPr>
        <w:rPr>
          <w:rFonts w:eastAsiaTheme="minorEastAsia"/>
        </w:rPr>
      </w:pPr>
      <w:r>
        <w:rPr>
          <w:rFonts w:eastAsiaTheme="minorEastAsia"/>
        </w:rPr>
        <w:t>Spanish</w:t>
      </w:r>
    </w:p>
    <w:p w14:paraId="7FB5CA8A" w14:textId="6C1EB6FE" w:rsidR="00A241CD" w:rsidRDefault="00E27859" w:rsidP="005F7A22">
      <w:pPr>
        <w:pStyle w:val="ListParagraph"/>
        <w:numPr>
          <w:ilvl w:val="0"/>
          <w:numId w:val="66"/>
        </w:numPr>
        <w:rPr>
          <w:rFonts w:eastAsiaTheme="minorEastAsia"/>
        </w:rPr>
      </w:pPr>
      <w:r>
        <w:rPr>
          <w:rFonts w:eastAsiaTheme="minorEastAsia"/>
        </w:rPr>
        <w:t xml:space="preserve">Amharic, Somali, or </w:t>
      </w:r>
      <w:r w:rsidR="00BD141B">
        <w:rPr>
          <w:rFonts w:eastAsiaTheme="minorEastAsia"/>
        </w:rPr>
        <w:t xml:space="preserve">other </w:t>
      </w:r>
      <w:r>
        <w:rPr>
          <w:rFonts w:eastAsiaTheme="minorEastAsia"/>
        </w:rPr>
        <w:t>Afro-Asiatic Languages</w:t>
      </w:r>
    </w:p>
    <w:p w14:paraId="67B6A9C5" w14:textId="05444086" w:rsidR="00E27859" w:rsidRDefault="00E27859" w:rsidP="005F7A22">
      <w:pPr>
        <w:pStyle w:val="ListParagraph"/>
        <w:numPr>
          <w:ilvl w:val="0"/>
          <w:numId w:val="66"/>
        </w:numPr>
        <w:rPr>
          <w:rFonts w:eastAsiaTheme="minorEastAsia"/>
        </w:rPr>
      </w:pPr>
      <w:r>
        <w:rPr>
          <w:rFonts w:eastAsiaTheme="minorEastAsia"/>
        </w:rPr>
        <w:t>Hmong</w:t>
      </w:r>
    </w:p>
    <w:p w14:paraId="189BC28D" w14:textId="4FBDD5C1" w:rsidR="00E27859" w:rsidRDefault="00E27859" w:rsidP="005F7A22">
      <w:pPr>
        <w:pStyle w:val="ListParagraph"/>
        <w:numPr>
          <w:ilvl w:val="0"/>
          <w:numId w:val="66"/>
        </w:numPr>
        <w:rPr>
          <w:rFonts w:eastAsiaTheme="minorEastAsia"/>
        </w:rPr>
      </w:pPr>
      <w:r>
        <w:rPr>
          <w:rFonts w:eastAsiaTheme="minorEastAsia"/>
        </w:rPr>
        <w:t>Chinese</w:t>
      </w:r>
    </w:p>
    <w:p w14:paraId="5A64CAC0" w14:textId="7E02858B" w:rsidR="00E27859" w:rsidRPr="00A241CD" w:rsidRDefault="00E27859" w:rsidP="005F7A22">
      <w:pPr>
        <w:pStyle w:val="ListParagraph"/>
        <w:numPr>
          <w:ilvl w:val="0"/>
          <w:numId w:val="66"/>
        </w:numPr>
        <w:rPr>
          <w:rFonts w:eastAsiaTheme="minorEastAsia"/>
        </w:rPr>
      </w:pPr>
      <w:r>
        <w:rPr>
          <w:rFonts w:eastAsiaTheme="minorEastAsia"/>
        </w:rPr>
        <w:t>Vietnamese</w:t>
      </w:r>
    </w:p>
    <w:p w14:paraId="40753B63" w14:textId="77777777" w:rsidR="00933EAF" w:rsidRDefault="00933EAF" w:rsidP="333B87A2">
      <w:pPr>
        <w:rPr>
          <w:rFonts w:eastAsiaTheme="minorEastAsia"/>
        </w:rPr>
      </w:pPr>
    </w:p>
    <w:p w14:paraId="3739923C" w14:textId="3CD39544" w:rsidR="00873865" w:rsidRDefault="00873865" w:rsidP="333B87A2">
      <w:pPr>
        <w:rPr>
          <w:rFonts w:eastAsiaTheme="minorEastAsia"/>
        </w:rPr>
      </w:pPr>
      <w:r>
        <w:rPr>
          <w:rFonts w:eastAsiaTheme="minorEastAsia"/>
        </w:rPr>
        <w:t xml:space="preserve">It is difficult to </w:t>
      </w:r>
      <w:r w:rsidR="00A04C22">
        <w:rPr>
          <w:rFonts w:eastAsiaTheme="minorEastAsia"/>
        </w:rPr>
        <w:t xml:space="preserve">get </w:t>
      </w:r>
      <w:r w:rsidR="005279B2">
        <w:rPr>
          <w:rFonts w:eastAsiaTheme="minorEastAsia"/>
        </w:rPr>
        <w:t xml:space="preserve">an </w:t>
      </w:r>
      <w:r w:rsidR="00590485">
        <w:rPr>
          <w:rFonts w:eastAsiaTheme="minorEastAsia"/>
        </w:rPr>
        <w:t>accurate</w:t>
      </w:r>
      <w:r w:rsidR="005279B2">
        <w:rPr>
          <w:rFonts w:eastAsiaTheme="minorEastAsia"/>
        </w:rPr>
        <w:t xml:space="preserve"> picture of the </w:t>
      </w:r>
      <w:r w:rsidR="00772D95">
        <w:rPr>
          <w:rFonts w:eastAsiaTheme="minorEastAsia"/>
        </w:rPr>
        <w:t>incidence of blindness, low vision</w:t>
      </w:r>
      <w:r w:rsidR="00BD141B">
        <w:rPr>
          <w:rFonts w:eastAsiaTheme="minorEastAsia"/>
        </w:rPr>
        <w:t>,</w:t>
      </w:r>
      <w:r w:rsidR="00772D95">
        <w:rPr>
          <w:rFonts w:eastAsiaTheme="minorEastAsia"/>
        </w:rPr>
        <w:t xml:space="preserve"> and DeafBlindness in Minnesota</w:t>
      </w:r>
      <w:r w:rsidR="006C6C0B">
        <w:rPr>
          <w:rFonts w:eastAsiaTheme="minorEastAsia"/>
        </w:rPr>
        <w:t xml:space="preserve"> as there are few </w:t>
      </w:r>
      <w:r w:rsidR="00220651">
        <w:rPr>
          <w:rFonts w:eastAsiaTheme="minorEastAsia"/>
        </w:rPr>
        <w:t xml:space="preserve">sources of </w:t>
      </w:r>
      <w:r w:rsidR="00213EA5">
        <w:rPr>
          <w:rFonts w:eastAsiaTheme="minorEastAsia"/>
        </w:rPr>
        <w:t xml:space="preserve">data collection and </w:t>
      </w:r>
      <w:r w:rsidR="003873D7">
        <w:rPr>
          <w:rFonts w:eastAsiaTheme="minorEastAsia"/>
        </w:rPr>
        <w:t>the</w:t>
      </w:r>
      <w:r w:rsidR="003C5892">
        <w:rPr>
          <w:rFonts w:eastAsiaTheme="minorEastAsia"/>
        </w:rPr>
        <w:t xml:space="preserve"> most</w:t>
      </w:r>
      <w:r w:rsidR="008550DF">
        <w:rPr>
          <w:rFonts w:eastAsiaTheme="minorEastAsia"/>
        </w:rPr>
        <w:t xml:space="preserve"> </w:t>
      </w:r>
      <w:r w:rsidR="00BD141B">
        <w:rPr>
          <w:rFonts w:eastAsiaTheme="minorEastAsia"/>
        </w:rPr>
        <w:t xml:space="preserve">recently </w:t>
      </w:r>
      <w:r w:rsidR="00763D6F">
        <w:rPr>
          <w:rFonts w:eastAsiaTheme="minorEastAsia"/>
        </w:rPr>
        <w:t xml:space="preserve">available is </w:t>
      </w:r>
      <w:r w:rsidR="003767C2">
        <w:rPr>
          <w:rFonts w:eastAsiaTheme="minorEastAsia"/>
        </w:rPr>
        <w:t>from 2019</w:t>
      </w:r>
      <w:r w:rsidR="00772D95">
        <w:rPr>
          <w:rFonts w:eastAsiaTheme="minorEastAsia"/>
        </w:rPr>
        <w:t xml:space="preserve">. </w:t>
      </w:r>
      <w:r w:rsidR="00590485">
        <w:rPr>
          <w:rFonts w:eastAsiaTheme="minorEastAsia"/>
        </w:rPr>
        <w:t xml:space="preserve"> </w:t>
      </w:r>
      <w:r w:rsidR="00D30134">
        <w:rPr>
          <w:rFonts w:eastAsiaTheme="minorEastAsia"/>
        </w:rPr>
        <w:t xml:space="preserve">The American Foundation </w:t>
      </w:r>
      <w:r w:rsidR="00A244D3">
        <w:rPr>
          <w:rFonts w:eastAsiaTheme="minorEastAsia"/>
        </w:rPr>
        <w:t xml:space="preserve">for the Blind </w:t>
      </w:r>
      <w:r w:rsidR="00F838C2">
        <w:rPr>
          <w:rFonts w:eastAsiaTheme="minorEastAsia"/>
        </w:rPr>
        <w:t xml:space="preserve">reported </w:t>
      </w:r>
      <w:r w:rsidR="0089786D">
        <w:rPr>
          <w:rFonts w:eastAsiaTheme="minorEastAsia"/>
        </w:rPr>
        <w:t>in their 2019 Prevalence Rates of Vision Difficulty</w:t>
      </w:r>
      <w:r w:rsidR="00D60B09">
        <w:rPr>
          <w:rFonts w:eastAsiaTheme="minorEastAsia"/>
        </w:rPr>
        <w:t xml:space="preserve">, a total of </w:t>
      </w:r>
      <w:r w:rsidR="004D298C">
        <w:rPr>
          <w:rFonts w:eastAsiaTheme="minorEastAsia"/>
        </w:rPr>
        <w:t xml:space="preserve">84,900 </w:t>
      </w:r>
      <w:r w:rsidR="0045025A">
        <w:rPr>
          <w:rFonts w:eastAsiaTheme="minorEastAsia"/>
        </w:rPr>
        <w:t xml:space="preserve">individuals. </w:t>
      </w:r>
      <w:r w:rsidR="004C1AA1">
        <w:rPr>
          <w:rFonts w:eastAsiaTheme="minorEastAsia"/>
        </w:rPr>
        <w:t>Of t</w:t>
      </w:r>
      <w:r w:rsidR="004663C3">
        <w:rPr>
          <w:rFonts w:eastAsiaTheme="minorEastAsia"/>
        </w:rPr>
        <w:t xml:space="preserve">hat total, </w:t>
      </w:r>
      <w:r w:rsidR="00366CB7">
        <w:rPr>
          <w:rFonts w:eastAsiaTheme="minorEastAsia"/>
        </w:rPr>
        <w:t>38,265</w:t>
      </w:r>
      <w:r w:rsidR="00500AEA">
        <w:rPr>
          <w:rFonts w:eastAsiaTheme="minorEastAsia"/>
        </w:rPr>
        <w:t xml:space="preserve"> </w:t>
      </w:r>
      <w:r w:rsidR="00731F86">
        <w:rPr>
          <w:rFonts w:eastAsiaTheme="minorEastAsia"/>
        </w:rPr>
        <w:t>w</w:t>
      </w:r>
      <w:r w:rsidR="00C6515E">
        <w:rPr>
          <w:rFonts w:eastAsiaTheme="minorEastAsia"/>
        </w:rPr>
        <w:t xml:space="preserve">ere male and </w:t>
      </w:r>
      <w:r w:rsidR="00731F86">
        <w:rPr>
          <w:rFonts w:eastAsiaTheme="minorEastAsia"/>
        </w:rPr>
        <w:t>46,635 were female.</w:t>
      </w:r>
      <w:r w:rsidR="00DC222F">
        <w:rPr>
          <w:rFonts w:eastAsiaTheme="minorEastAsia"/>
        </w:rPr>
        <w:t xml:space="preserve"> </w:t>
      </w:r>
      <w:r w:rsidR="00366CB7">
        <w:rPr>
          <w:rFonts w:eastAsiaTheme="minorEastAsia"/>
        </w:rPr>
        <w:t xml:space="preserve"> </w:t>
      </w:r>
      <w:r w:rsidR="005E4DBC">
        <w:rPr>
          <w:rFonts w:eastAsiaTheme="minorEastAsia"/>
        </w:rPr>
        <w:t xml:space="preserve">The </w:t>
      </w:r>
      <w:r w:rsidR="00081F68">
        <w:rPr>
          <w:rFonts w:eastAsiaTheme="minorEastAsia"/>
        </w:rPr>
        <w:t xml:space="preserve">prevalence rates </w:t>
      </w:r>
      <w:r w:rsidR="00E310AF">
        <w:rPr>
          <w:rFonts w:eastAsiaTheme="minorEastAsia"/>
        </w:rPr>
        <w:t>are</w:t>
      </w:r>
      <w:r w:rsidR="002F0168">
        <w:rPr>
          <w:rFonts w:eastAsiaTheme="minorEastAsia"/>
        </w:rPr>
        <w:t xml:space="preserve"> broken down by age</w:t>
      </w:r>
      <w:r w:rsidR="00E310AF">
        <w:rPr>
          <w:rFonts w:eastAsiaTheme="minorEastAsia"/>
        </w:rPr>
        <w:t xml:space="preserve"> as follows: </w:t>
      </w:r>
    </w:p>
    <w:p w14:paraId="081BFDC7" w14:textId="77777777" w:rsidR="00E310AF" w:rsidRDefault="00E310AF" w:rsidP="333B87A2">
      <w:pPr>
        <w:rPr>
          <w:rFonts w:eastAsiaTheme="minorEastAsia"/>
        </w:rPr>
      </w:pPr>
    </w:p>
    <w:tbl>
      <w:tblPr>
        <w:tblStyle w:val="TableGrid"/>
        <w:tblW w:w="0" w:type="auto"/>
        <w:tblLook w:val="04A0" w:firstRow="1" w:lastRow="0" w:firstColumn="1" w:lastColumn="0" w:noHBand="0" w:noVBand="1"/>
        <w:tblCaption w:val="2019 Prevalence of Vision Difficulty Age Breakdown"/>
        <w:tblDescription w:val="Data table with the prevalence of vision difficulty numbers by age breakdowns"/>
      </w:tblPr>
      <w:tblGrid>
        <w:gridCol w:w="1345"/>
        <w:gridCol w:w="1350"/>
      </w:tblGrid>
      <w:tr w:rsidR="00AF62BD" w14:paraId="123266FE" w14:textId="77777777" w:rsidTr="00AF62BD">
        <w:tc>
          <w:tcPr>
            <w:tcW w:w="1345" w:type="dxa"/>
          </w:tcPr>
          <w:p w14:paraId="24F564E6" w14:textId="075BE68F" w:rsidR="00AF62BD" w:rsidRDefault="009B7E05" w:rsidP="333B87A2">
            <w:pPr>
              <w:rPr>
                <w:rFonts w:eastAsiaTheme="minorEastAsia"/>
              </w:rPr>
            </w:pPr>
            <w:r>
              <w:rPr>
                <w:rFonts w:eastAsiaTheme="minorEastAsia"/>
              </w:rPr>
              <w:t>Under 5</w:t>
            </w:r>
          </w:p>
        </w:tc>
        <w:tc>
          <w:tcPr>
            <w:tcW w:w="1350" w:type="dxa"/>
          </w:tcPr>
          <w:p w14:paraId="752C9E7F" w14:textId="29FFAF9C" w:rsidR="00AF62BD" w:rsidRDefault="009B7E05" w:rsidP="333B87A2">
            <w:pPr>
              <w:rPr>
                <w:rFonts w:eastAsiaTheme="minorEastAsia"/>
              </w:rPr>
            </w:pPr>
            <w:r>
              <w:rPr>
                <w:rFonts w:eastAsiaTheme="minorEastAsia"/>
              </w:rPr>
              <w:t>1,425</w:t>
            </w:r>
          </w:p>
        </w:tc>
      </w:tr>
      <w:tr w:rsidR="00AF62BD" w14:paraId="4E2FCF4B" w14:textId="77777777" w:rsidTr="00AF62BD">
        <w:tc>
          <w:tcPr>
            <w:tcW w:w="1345" w:type="dxa"/>
          </w:tcPr>
          <w:p w14:paraId="32A5D486" w14:textId="75552C3C" w:rsidR="00AF62BD" w:rsidRDefault="009B7E05" w:rsidP="333B87A2">
            <w:pPr>
              <w:rPr>
                <w:rFonts w:eastAsiaTheme="minorEastAsia"/>
              </w:rPr>
            </w:pPr>
            <w:r>
              <w:rPr>
                <w:rFonts w:eastAsiaTheme="minorEastAsia"/>
              </w:rPr>
              <w:t>5</w:t>
            </w:r>
            <w:r w:rsidR="008B5C42">
              <w:rPr>
                <w:rFonts w:eastAsiaTheme="minorEastAsia"/>
              </w:rPr>
              <w:t>-17</w:t>
            </w:r>
          </w:p>
        </w:tc>
        <w:tc>
          <w:tcPr>
            <w:tcW w:w="1350" w:type="dxa"/>
          </w:tcPr>
          <w:p w14:paraId="1ED6DFA4" w14:textId="7A3ABAD7" w:rsidR="00AF62BD" w:rsidRDefault="008B5C42" w:rsidP="333B87A2">
            <w:pPr>
              <w:rPr>
                <w:rFonts w:eastAsiaTheme="minorEastAsia"/>
              </w:rPr>
            </w:pPr>
            <w:r>
              <w:rPr>
                <w:rFonts w:eastAsiaTheme="minorEastAsia"/>
              </w:rPr>
              <w:t>6,209</w:t>
            </w:r>
          </w:p>
        </w:tc>
      </w:tr>
      <w:tr w:rsidR="00AF62BD" w14:paraId="58C18F5D" w14:textId="77777777" w:rsidTr="00AF62BD">
        <w:tc>
          <w:tcPr>
            <w:tcW w:w="1345" w:type="dxa"/>
          </w:tcPr>
          <w:p w14:paraId="21CA5AF3" w14:textId="3AE739D2" w:rsidR="00AF62BD" w:rsidRDefault="009511AA" w:rsidP="333B87A2">
            <w:pPr>
              <w:rPr>
                <w:rFonts w:eastAsiaTheme="minorEastAsia"/>
              </w:rPr>
            </w:pPr>
            <w:r>
              <w:rPr>
                <w:rFonts w:eastAsiaTheme="minorEastAsia"/>
              </w:rPr>
              <w:t>18-</w:t>
            </w:r>
            <w:r w:rsidR="00E25CC7">
              <w:rPr>
                <w:rFonts w:eastAsiaTheme="minorEastAsia"/>
              </w:rPr>
              <w:t>34</w:t>
            </w:r>
          </w:p>
        </w:tc>
        <w:tc>
          <w:tcPr>
            <w:tcW w:w="1350" w:type="dxa"/>
          </w:tcPr>
          <w:p w14:paraId="6B0FD093" w14:textId="259A9653" w:rsidR="00AF62BD" w:rsidRDefault="00882209" w:rsidP="333B87A2">
            <w:pPr>
              <w:rPr>
                <w:rFonts w:eastAsiaTheme="minorEastAsia"/>
              </w:rPr>
            </w:pPr>
            <w:r>
              <w:rPr>
                <w:rFonts w:eastAsiaTheme="minorEastAsia"/>
              </w:rPr>
              <w:t>10,466</w:t>
            </w:r>
          </w:p>
        </w:tc>
      </w:tr>
      <w:tr w:rsidR="00551FA1" w14:paraId="7BFC0F05" w14:textId="77777777" w:rsidTr="00AF62BD">
        <w:tc>
          <w:tcPr>
            <w:tcW w:w="1345" w:type="dxa"/>
          </w:tcPr>
          <w:p w14:paraId="18BC2C9B" w14:textId="13359B23" w:rsidR="00551FA1" w:rsidRDefault="00551FA1" w:rsidP="333B87A2">
            <w:pPr>
              <w:rPr>
                <w:rFonts w:eastAsiaTheme="minorEastAsia"/>
              </w:rPr>
            </w:pPr>
            <w:r>
              <w:rPr>
                <w:rFonts w:eastAsiaTheme="minorEastAsia"/>
              </w:rPr>
              <w:t>35-64</w:t>
            </w:r>
          </w:p>
        </w:tc>
        <w:tc>
          <w:tcPr>
            <w:tcW w:w="1350" w:type="dxa"/>
          </w:tcPr>
          <w:p w14:paraId="06080031" w14:textId="22181A79" w:rsidR="00551FA1" w:rsidRDefault="000E7B48" w:rsidP="333B87A2">
            <w:pPr>
              <w:rPr>
                <w:rFonts w:eastAsiaTheme="minorEastAsia"/>
              </w:rPr>
            </w:pPr>
            <w:r>
              <w:rPr>
                <w:rFonts w:eastAsiaTheme="minorEastAsia"/>
              </w:rPr>
              <w:t>29,378</w:t>
            </w:r>
          </w:p>
        </w:tc>
      </w:tr>
      <w:tr w:rsidR="00551FA1" w14:paraId="4D3470C4" w14:textId="77777777" w:rsidTr="00AF62BD">
        <w:tc>
          <w:tcPr>
            <w:tcW w:w="1345" w:type="dxa"/>
          </w:tcPr>
          <w:p w14:paraId="3C1E33F1" w14:textId="04A18CC3" w:rsidR="00551FA1" w:rsidRDefault="000B1738" w:rsidP="333B87A2">
            <w:pPr>
              <w:rPr>
                <w:rFonts w:eastAsiaTheme="minorEastAsia"/>
              </w:rPr>
            </w:pPr>
            <w:r>
              <w:rPr>
                <w:rFonts w:eastAsiaTheme="minorEastAsia"/>
              </w:rPr>
              <w:t>65-74</w:t>
            </w:r>
          </w:p>
        </w:tc>
        <w:tc>
          <w:tcPr>
            <w:tcW w:w="1350" w:type="dxa"/>
          </w:tcPr>
          <w:p w14:paraId="6DBB8043" w14:textId="6CA7C0F4" w:rsidR="00551FA1" w:rsidRDefault="000B1738" w:rsidP="333B87A2">
            <w:pPr>
              <w:rPr>
                <w:rFonts w:eastAsiaTheme="minorEastAsia"/>
              </w:rPr>
            </w:pPr>
            <w:r>
              <w:rPr>
                <w:rFonts w:eastAsiaTheme="minorEastAsia"/>
              </w:rPr>
              <w:t>12,923</w:t>
            </w:r>
          </w:p>
        </w:tc>
      </w:tr>
      <w:tr w:rsidR="00551FA1" w14:paraId="3951D60A" w14:textId="77777777" w:rsidTr="00AF62BD">
        <w:tc>
          <w:tcPr>
            <w:tcW w:w="1345" w:type="dxa"/>
          </w:tcPr>
          <w:p w14:paraId="4C34D811" w14:textId="51884881" w:rsidR="00551FA1" w:rsidRDefault="005E32C6" w:rsidP="333B87A2">
            <w:pPr>
              <w:rPr>
                <w:rFonts w:eastAsiaTheme="minorEastAsia"/>
              </w:rPr>
            </w:pPr>
            <w:r>
              <w:rPr>
                <w:rFonts w:eastAsiaTheme="minorEastAsia"/>
              </w:rPr>
              <w:t>75 and older</w:t>
            </w:r>
          </w:p>
        </w:tc>
        <w:tc>
          <w:tcPr>
            <w:tcW w:w="1350" w:type="dxa"/>
          </w:tcPr>
          <w:p w14:paraId="2251DB2B" w14:textId="5DC06B8C" w:rsidR="00551FA1" w:rsidRDefault="005E32C6" w:rsidP="333B87A2">
            <w:pPr>
              <w:rPr>
                <w:rFonts w:eastAsiaTheme="minorEastAsia"/>
              </w:rPr>
            </w:pPr>
            <w:r>
              <w:rPr>
                <w:rFonts w:eastAsiaTheme="minorEastAsia"/>
              </w:rPr>
              <w:t>24,499</w:t>
            </w:r>
          </w:p>
        </w:tc>
      </w:tr>
    </w:tbl>
    <w:p w14:paraId="5D4BF31E" w14:textId="77777777" w:rsidR="001B08D8" w:rsidRDefault="001B08D8" w:rsidP="333B87A2">
      <w:pPr>
        <w:rPr>
          <w:rFonts w:eastAsiaTheme="minorEastAsia"/>
        </w:rPr>
      </w:pPr>
    </w:p>
    <w:p w14:paraId="51629F73" w14:textId="77777777" w:rsidR="005F4EAD" w:rsidRDefault="005F4EAD" w:rsidP="333B87A2">
      <w:pPr>
        <w:rPr>
          <w:rFonts w:eastAsiaTheme="minorEastAsia"/>
        </w:rPr>
      </w:pPr>
    </w:p>
    <w:p w14:paraId="13BB91A3" w14:textId="69A09AE1" w:rsidR="00E310AF" w:rsidRDefault="005F4EAD" w:rsidP="333B87A2">
      <w:pPr>
        <w:rPr>
          <w:rFonts w:eastAsiaTheme="minorEastAsia"/>
        </w:rPr>
      </w:pPr>
      <w:r>
        <w:rPr>
          <w:rFonts w:eastAsiaTheme="minorEastAsia"/>
        </w:rPr>
        <w:t>2017 Minnesota Joint Disparity Study</w:t>
      </w:r>
    </w:p>
    <w:p w14:paraId="1FB9FE7C" w14:textId="77777777" w:rsidR="0072049E" w:rsidRDefault="00B21922" w:rsidP="333B87A2">
      <w:pPr>
        <w:rPr>
          <w:rFonts w:eastAsiaTheme="minorEastAsia"/>
        </w:rPr>
      </w:pPr>
      <w:r>
        <w:rPr>
          <w:rFonts w:eastAsiaTheme="minorEastAsia"/>
        </w:rPr>
        <w:t xml:space="preserve">The State of </w:t>
      </w:r>
      <w:r w:rsidR="00581A9F">
        <w:rPr>
          <w:rFonts w:eastAsiaTheme="minorEastAsia"/>
        </w:rPr>
        <w:t>M</w:t>
      </w:r>
      <w:r w:rsidR="00EF6EB2">
        <w:rPr>
          <w:rFonts w:eastAsiaTheme="minorEastAsia"/>
        </w:rPr>
        <w:t>innesota</w:t>
      </w:r>
      <w:r w:rsidR="00B23A74">
        <w:rPr>
          <w:rFonts w:eastAsiaTheme="minorEastAsia"/>
        </w:rPr>
        <w:t xml:space="preserve"> conducted disparity studies in</w:t>
      </w:r>
      <w:r w:rsidR="0072049E">
        <w:rPr>
          <w:rFonts w:eastAsiaTheme="minorEastAsia"/>
        </w:rPr>
        <w:t xml:space="preserve">: </w:t>
      </w:r>
    </w:p>
    <w:p w14:paraId="15898D41" w14:textId="77777777" w:rsidR="00A72898" w:rsidRPr="00A72898" w:rsidRDefault="00EF6EB2" w:rsidP="00A72898">
      <w:pPr>
        <w:numPr>
          <w:ilvl w:val="1"/>
          <w:numId w:val="68"/>
        </w:numPr>
        <w:tabs>
          <w:tab w:val="clear" w:pos="1440"/>
        </w:tabs>
        <w:ind w:left="540" w:hanging="180"/>
        <w:rPr>
          <w:rFonts w:eastAsiaTheme="minorEastAsia"/>
        </w:rPr>
      </w:pPr>
      <w:r>
        <w:rPr>
          <w:rFonts w:eastAsiaTheme="minorEastAsia"/>
        </w:rPr>
        <w:t xml:space="preserve"> </w:t>
      </w:r>
      <w:r w:rsidR="00A72898" w:rsidRPr="00A72898">
        <w:rPr>
          <w:rFonts w:eastAsiaTheme="minorEastAsia"/>
        </w:rPr>
        <w:t>1999 (Mason Tilman)</w:t>
      </w:r>
    </w:p>
    <w:p w14:paraId="58FCADE9" w14:textId="77777777" w:rsidR="00A72898" w:rsidRPr="00A72898" w:rsidRDefault="00A72898" w:rsidP="00A72898">
      <w:pPr>
        <w:numPr>
          <w:ilvl w:val="1"/>
          <w:numId w:val="68"/>
        </w:numPr>
        <w:tabs>
          <w:tab w:val="clear" w:pos="1440"/>
        </w:tabs>
        <w:ind w:left="540" w:hanging="180"/>
        <w:rPr>
          <w:rFonts w:eastAsiaTheme="minorEastAsia"/>
        </w:rPr>
      </w:pPr>
      <w:r w:rsidRPr="00A72898">
        <w:rPr>
          <w:rFonts w:eastAsiaTheme="minorEastAsia"/>
        </w:rPr>
        <w:t xml:space="preserve"> 2009 (MGT of America)</w:t>
      </w:r>
    </w:p>
    <w:p w14:paraId="70A89F6E" w14:textId="77777777" w:rsidR="00A72898" w:rsidRPr="00A72898" w:rsidRDefault="00A72898" w:rsidP="00A72898">
      <w:pPr>
        <w:numPr>
          <w:ilvl w:val="1"/>
          <w:numId w:val="68"/>
        </w:numPr>
        <w:tabs>
          <w:tab w:val="clear" w:pos="1440"/>
        </w:tabs>
        <w:ind w:left="540" w:hanging="180"/>
        <w:rPr>
          <w:rFonts w:eastAsiaTheme="minorEastAsia"/>
        </w:rPr>
      </w:pPr>
      <w:r w:rsidRPr="00A72898">
        <w:rPr>
          <w:rFonts w:eastAsiaTheme="minorEastAsia"/>
        </w:rPr>
        <w:t xml:space="preserve"> 2017 (Keen Independent Research)</w:t>
      </w:r>
    </w:p>
    <w:p w14:paraId="0FF92C5C" w14:textId="3E4CA633" w:rsidR="00A72898" w:rsidRDefault="00060AFA" w:rsidP="00C17F9E">
      <w:pPr>
        <w:numPr>
          <w:ilvl w:val="1"/>
          <w:numId w:val="68"/>
        </w:numPr>
        <w:tabs>
          <w:tab w:val="clear" w:pos="1440"/>
          <w:tab w:val="num" w:pos="990"/>
        </w:tabs>
        <w:spacing w:after="60"/>
        <w:ind w:hanging="720"/>
        <w:rPr>
          <w:rFonts w:eastAsiaTheme="minorEastAsia"/>
        </w:rPr>
      </w:pPr>
      <w:hyperlink r:id="rId10" w:history="1">
        <w:r w:rsidR="00A72898" w:rsidRPr="00A72898">
          <w:rPr>
            <w:rStyle w:val="Hyperlink"/>
            <w:rFonts w:eastAsiaTheme="minorEastAsia"/>
          </w:rPr>
          <w:t>https://mn.gov/admin/disparity-study/</w:t>
        </w:r>
      </w:hyperlink>
      <w:r w:rsidR="00A72898" w:rsidRPr="00A72898">
        <w:rPr>
          <w:rFonts w:eastAsiaTheme="minorEastAsia"/>
        </w:rPr>
        <w:t xml:space="preserve"> </w:t>
      </w:r>
    </w:p>
    <w:p w14:paraId="21585E60" w14:textId="40D31578" w:rsidR="00A72898" w:rsidRPr="00A72898" w:rsidRDefault="007D2222" w:rsidP="00886436">
      <w:pPr>
        <w:rPr>
          <w:rFonts w:eastAsiaTheme="minorEastAsia"/>
        </w:rPr>
      </w:pPr>
      <w:r w:rsidRPr="007D2222">
        <w:rPr>
          <w:rFonts w:eastAsiaTheme="minorEastAsia"/>
        </w:rPr>
        <w:t>The 2017 Minnesota Joint Disparity Study examines whether discrimination affects minority-</w:t>
      </w:r>
      <w:r w:rsidR="00BD141B">
        <w:rPr>
          <w:rFonts w:eastAsiaTheme="minorEastAsia"/>
        </w:rPr>
        <w:t>owned</w:t>
      </w:r>
      <w:r w:rsidRPr="007D2222">
        <w:rPr>
          <w:rFonts w:eastAsiaTheme="minorEastAsia"/>
        </w:rPr>
        <w:t xml:space="preserve"> and women-owned firms in the marketplace and ways to address that discrimination.</w:t>
      </w:r>
      <w:r>
        <w:rPr>
          <w:rFonts w:eastAsiaTheme="minorEastAsia"/>
        </w:rPr>
        <w:t xml:space="preserve"> </w:t>
      </w:r>
      <w:r w:rsidR="00B860F4">
        <w:rPr>
          <w:rFonts w:eastAsiaTheme="minorEastAsia"/>
        </w:rPr>
        <w:t>Although t</w:t>
      </w:r>
      <w:r w:rsidR="008A1460">
        <w:rPr>
          <w:rFonts w:eastAsiaTheme="minorEastAsia"/>
        </w:rPr>
        <w:t>h</w:t>
      </w:r>
      <w:r w:rsidR="003D56ED">
        <w:rPr>
          <w:rFonts w:eastAsiaTheme="minorEastAsia"/>
        </w:rPr>
        <w:t>is</w:t>
      </w:r>
      <w:r w:rsidR="008A1460">
        <w:rPr>
          <w:rFonts w:eastAsiaTheme="minorEastAsia"/>
        </w:rPr>
        <w:t xml:space="preserve"> purpose </w:t>
      </w:r>
      <w:r w:rsidR="001D2CA3">
        <w:rPr>
          <w:rFonts w:eastAsiaTheme="minorEastAsia"/>
        </w:rPr>
        <w:t>does not address</w:t>
      </w:r>
      <w:r w:rsidR="003D56ED">
        <w:rPr>
          <w:rFonts w:eastAsiaTheme="minorEastAsia"/>
        </w:rPr>
        <w:t xml:space="preserve"> </w:t>
      </w:r>
      <w:r w:rsidR="00F82117">
        <w:rPr>
          <w:rFonts w:eastAsiaTheme="minorEastAsia"/>
        </w:rPr>
        <w:t xml:space="preserve">individuals with disabilities specifically, </w:t>
      </w:r>
      <w:r w:rsidR="008853FA">
        <w:rPr>
          <w:rFonts w:eastAsiaTheme="minorEastAsia"/>
        </w:rPr>
        <w:t xml:space="preserve">it can still provide </w:t>
      </w:r>
      <w:r w:rsidR="00556219">
        <w:rPr>
          <w:rFonts w:eastAsiaTheme="minorEastAsia"/>
        </w:rPr>
        <w:t xml:space="preserve">useful information. </w:t>
      </w:r>
      <w:r w:rsidR="001D2CA3">
        <w:rPr>
          <w:rFonts w:eastAsiaTheme="minorEastAsia"/>
        </w:rPr>
        <w:t xml:space="preserve"> </w:t>
      </w:r>
      <w:r w:rsidR="00597D38" w:rsidRPr="0BB0A80F">
        <w:rPr>
          <w:rFonts w:eastAsiaTheme="minorEastAsia"/>
        </w:rPr>
        <w:t xml:space="preserve">The </w:t>
      </w:r>
      <w:r w:rsidR="00DD22F2">
        <w:rPr>
          <w:rFonts w:eastAsiaTheme="minorEastAsia"/>
        </w:rPr>
        <w:t xml:space="preserve">Legislature has approved money </w:t>
      </w:r>
      <w:r w:rsidR="002F2AFF">
        <w:rPr>
          <w:rFonts w:eastAsiaTheme="minorEastAsia"/>
        </w:rPr>
        <w:t>to conduct a</w:t>
      </w:r>
      <w:r w:rsidR="001C17D7">
        <w:rPr>
          <w:rFonts w:eastAsiaTheme="minorEastAsia"/>
        </w:rPr>
        <w:t>n updated</w:t>
      </w:r>
      <w:r w:rsidR="007F104E">
        <w:rPr>
          <w:rFonts w:eastAsiaTheme="minorEastAsia"/>
        </w:rPr>
        <w:t xml:space="preserve"> study</w:t>
      </w:r>
      <w:r w:rsidR="003B488A">
        <w:rPr>
          <w:rFonts w:eastAsiaTheme="minorEastAsia"/>
        </w:rPr>
        <w:t>.</w:t>
      </w:r>
      <w:r w:rsidR="007F104E">
        <w:rPr>
          <w:rFonts w:eastAsiaTheme="minorEastAsia"/>
        </w:rPr>
        <w:t xml:space="preserve"> </w:t>
      </w:r>
    </w:p>
    <w:p w14:paraId="705C5A8A" w14:textId="77777777" w:rsidR="0014001E" w:rsidRDefault="0014001E" w:rsidP="0BB0A80F">
      <w:pPr>
        <w:rPr>
          <w:rFonts w:eastAsiaTheme="minorEastAsia"/>
        </w:rPr>
      </w:pPr>
    </w:p>
    <w:p w14:paraId="1478059F" w14:textId="7079F2E1" w:rsidR="0014001E" w:rsidRDefault="0014001E" w:rsidP="0BB0A80F">
      <w:pPr>
        <w:rPr>
          <w:rFonts w:eastAsiaTheme="minorEastAsia"/>
        </w:rPr>
      </w:pPr>
      <w:r w:rsidRPr="0BB0A80F">
        <w:rPr>
          <w:rFonts w:eastAsiaTheme="minorEastAsia"/>
        </w:rPr>
        <w:t>The S</w:t>
      </w:r>
      <w:r w:rsidR="000A56D7" w:rsidRPr="0BB0A80F">
        <w:rPr>
          <w:rFonts w:eastAsiaTheme="minorEastAsia"/>
        </w:rPr>
        <w:t xml:space="preserve">RC-B Customer Satisfaction Survey Committee, in coordination with the Department’s survey specialist, added a demographic profile to the customer satisfaction survey results. This profile gives us additional information on the customer satisfaction by age, gender, race, ethnicity, geographic area, etc. </w:t>
      </w:r>
      <w:r w:rsidR="005B6649" w:rsidRPr="0BB0A80F">
        <w:rPr>
          <w:rFonts w:eastAsiaTheme="minorEastAsia"/>
        </w:rPr>
        <w:t xml:space="preserve">The </w:t>
      </w:r>
      <w:proofErr w:type="spellStart"/>
      <w:r w:rsidR="005B6649" w:rsidRPr="0BB0A80F">
        <w:rPr>
          <w:rFonts w:eastAsiaTheme="minorEastAsia"/>
        </w:rPr>
        <w:t>MnCSI</w:t>
      </w:r>
      <w:proofErr w:type="spellEnd"/>
      <w:r w:rsidR="005B6649" w:rsidRPr="0BB0A80F">
        <w:rPr>
          <w:rFonts w:eastAsiaTheme="minorEastAsia"/>
        </w:rPr>
        <w:t xml:space="preserve"> (Minnesota Customer Satisfaction Index)</w:t>
      </w:r>
      <w:r w:rsidR="008026B1" w:rsidRPr="0BB0A80F">
        <w:rPr>
          <w:rFonts w:eastAsiaTheme="minorEastAsia"/>
        </w:rPr>
        <w:t xml:space="preserve"> measures percentage of satisfaction, with a higher number being higher satisfaction. Satisfaction </w:t>
      </w:r>
      <w:r w:rsidR="002D0691" w:rsidRPr="0BB0A80F">
        <w:rPr>
          <w:rFonts w:eastAsiaTheme="minorEastAsia"/>
        </w:rPr>
        <w:t xml:space="preserve">for the </w:t>
      </w:r>
      <w:r w:rsidR="005F21A3" w:rsidRPr="0BB0A80F">
        <w:rPr>
          <w:rFonts w:eastAsiaTheme="minorEastAsia"/>
        </w:rPr>
        <w:t xml:space="preserve">most recent </w:t>
      </w:r>
      <w:r w:rsidR="002D0691" w:rsidRPr="0BB0A80F">
        <w:rPr>
          <w:rFonts w:eastAsiaTheme="minorEastAsia"/>
        </w:rPr>
        <w:t xml:space="preserve">2023 survey </w:t>
      </w:r>
      <w:r w:rsidR="008026B1" w:rsidRPr="0BB0A80F">
        <w:rPr>
          <w:rFonts w:eastAsiaTheme="minorEastAsia"/>
        </w:rPr>
        <w:t xml:space="preserve">was overall higher for individuals who are BIPOC or Hispanic/Latinx. </w:t>
      </w:r>
    </w:p>
    <w:p w14:paraId="1B2505F8" w14:textId="77777777" w:rsidR="005B6649" w:rsidRDefault="005B6649" w:rsidP="0BB0A80F">
      <w:pPr>
        <w:rPr>
          <w:rFonts w:eastAsiaTheme="minorEastAsia"/>
        </w:rPr>
      </w:pPr>
    </w:p>
    <w:p w14:paraId="5A819BBF" w14:textId="3330A0C3" w:rsidR="002D0691" w:rsidRPr="002D0691" w:rsidRDefault="002D0691" w:rsidP="0BB0A80F">
      <w:pPr>
        <w:rPr>
          <w:rFonts w:eastAsiaTheme="minorEastAsia"/>
          <w:i/>
          <w:iCs/>
        </w:rPr>
      </w:pPr>
      <w:r w:rsidRPr="0BB0A80F">
        <w:rPr>
          <w:rFonts w:eastAsiaTheme="minorEastAsia"/>
          <w:i/>
          <w:iCs/>
        </w:rPr>
        <w:t>2023 Customer Satisfaction Survey Demographic Profile</w:t>
      </w:r>
    </w:p>
    <w:p w14:paraId="408D76F7" w14:textId="77777777" w:rsidR="005B6649" w:rsidRPr="00452466" w:rsidRDefault="005B6649" w:rsidP="005B6649"/>
    <w:tbl>
      <w:tblPr>
        <w:tblStyle w:val="TableGrid"/>
        <w:tblW w:w="0" w:type="auto"/>
        <w:tblLook w:val="04A0" w:firstRow="1" w:lastRow="0" w:firstColumn="1" w:lastColumn="0" w:noHBand="0" w:noVBand="1"/>
        <w:tblCaption w:val="Table1 "/>
        <w:tblDescription w:val="Percentages of population, valid population, and SSB survey respondents on gender."/>
      </w:tblPr>
      <w:tblGrid>
        <w:gridCol w:w="893"/>
        <w:gridCol w:w="2254"/>
        <w:gridCol w:w="2253"/>
        <w:gridCol w:w="2594"/>
        <w:gridCol w:w="1327"/>
      </w:tblGrid>
      <w:tr w:rsidR="008D5A70" w:rsidRPr="00452466" w14:paraId="4A2921B3" w14:textId="77777777" w:rsidTr="0BB0A80F">
        <w:trPr>
          <w:trHeight w:val="300"/>
        </w:trPr>
        <w:tc>
          <w:tcPr>
            <w:tcW w:w="0" w:type="auto"/>
          </w:tcPr>
          <w:p w14:paraId="0E19BBF3" w14:textId="77777777" w:rsidR="008D5A70" w:rsidRPr="00452466" w:rsidRDefault="008D5A70" w:rsidP="002C3A25">
            <w:pPr>
              <w:rPr>
                <w:b/>
                <w:bCs/>
              </w:rPr>
            </w:pPr>
            <w:bookmarkStart w:id="1" w:name="_Hlk104380768"/>
            <w:r w:rsidRPr="0BB0A80F">
              <w:rPr>
                <w:b/>
                <w:bCs/>
              </w:rPr>
              <w:t>Gender</w:t>
            </w:r>
          </w:p>
        </w:tc>
        <w:tc>
          <w:tcPr>
            <w:tcW w:w="0" w:type="auto"/>
          </w:tcPr>
          <w:p w14:paraId="0C4C0111" w14:textId="2F3B61BA" w:rsidR="008D5A70" w:rsidRPr="00452466" w:rsidRDefault="008D5A70" w:rsidP="002C3A25">
            <w:pPr>
              <w:rPr>
                <w:b/>
                <w:bCs/>
              </w:rPr>
            </w:pPr>
            <w:r w:rsidRPr="0BB0A80F">
              <w:rPr>
                <w:b/>
                <w:bCs/>
              </w:rPr>
              <w:t>Total Population (663)</w:t>
            </w:r>
          </w:p>
        </w:tc>
        <w:tc>
          <w:tcPr>
            <w:tcW w:w="0" w:type="auto"/>
          </w:tcPr>
          <w:p w14:paraId="5AD1ADF5" w14:textId="77777777" w:rsidR="008D5A70" w:rsidRPr="00452466" w:rsidRDefault="008D5A70" w:rsidP="002C3A25">
            <w:pPr>
              <w:rPr>
                <w:b/>
                <w:bCs/>
              </w:rPr>
            </w:pPr>
            <w:r w:rsidRPr="0BB0A80F">
              <w:rPr>
                <w:b/>
                <w:bCs/>
              </w:rPr>
              <w:t>Valid Population (587)</w:t>
            </w:r>
          </w:p>
        </w:tc>
        <w:tc>
          <w:tcPr>
            <w:tcW w:w="0" w:type="auto"/>
          </w:tcPr>
          <w:p w14:paraId="390B8677" w14:textId="77777777" w:rsidR="008D5A70" w:rsidRPr="00452466" w:rsidRDefault="008D5A70" w:rsidP="002C3A25">
            <w:pPr>
              <w:rPr>
                <w:b/>
                <w:bCs/>
              </w:rPr>
            </w:pPr>
            <w:r w:rsidRPr="0BB0A80F">
              <w:rPr>
                <w:b/>
                <w:bCs/>
              </w:rPr>
              <w:t>Survey Respondents (186)</w:t>
            </w:r>
          </w:p>
        </w:tc>
        <w:tc>
          <w:tcPr>
            <w:tcW w:w="0" w:type="auto"/>
          </w:tcPr>
          <w:p w14:paraId="0A3263BE" w14:textId="77777777" w:rsidR="008D5A70" w:rsidRPr="00452466" w:rsidRDefault="008D5A70" w:rsidP="002C3A25">
            <w:pPr>
              <w:rPr>
                <w:b/>
                <w:bCs/>
              </w:rPr>
            </w:pPr>
            <w:proofErr w:type="spellStart"/>
            <w:r w:rsidRPr="0BB0A80F">
              <w:rPr>
                <w:b/>
                <w:bCs/>
              </w:rPr>
              <w:t>MnCSI</w:t>
            </w:r>
            <w:proofErr w:type="spellEnd"/>
            <w:r w:rsidRPr="0BB0A80F">
              <w:rPr>
                <w:b/>
                <w:bCs/>
              </w:rPr>
              <w:t xml:space="preserve"> (154)</w:t>
            </w:r>
          </w:p>
        </w:tc>
      </w:tr>
      <w:tr w:rsidR="008D5A70" w14:paraId="3E3D7C0A" w14:textId="77777777" w:rsidTr="0BB0A80F">
        <w:trPr>
          <w:trHeight w:val="300"/>
        </w:trPr>
        <w:tc>
          <w:tcPr>
            <w:tcW w:w="0" w:type="auto"/>
          </w:tcPr>
          <w:p w14:paraId="26FEBA47" w14:textId="77777777" w:rsidR="008D5A70" w:rsidRDefault="008D5A70" w:rsidP="002C3A25">
            <w:r>
              <w:lastRenderedPageBreak/>
              <w:t>Female</w:t>
            </w:r>
          </w:p>
        </w:tc>
        <w:tc>
          <w:tcPr>
            <w:tcW w:w="0" w:type="auto"/>
          </w:tcPr>
          <w:p w14:paraId="153CFF00" w14:textId="2ABF264A" w:rsidR="008D5A70" w:rsidRDefault="008D5A70" w:rsidP="002C3A25">
            <w:pPr>
              <w:jc w:val="center"/>
            </w:pPr>
            <w:r>
              <w:t>48%</w:t>
            </w:r>
          </w:p>
        </w:tc>
        <w:tc>
          <w:tcPr>
            <w:tcW w:w="0" w:type="auto"/>
          </w:tcPr>
          <w:p w14:paraId="600F683B" w14:textId="77777777" w:rsidR="008D5A70" w:rsidRDefault="008D5A70" w:rsidP="002C3A25">
            <w:pPr>
              <w:jc w:val="center"/>
            </w:pPr>
            <w:r>
              <w:t>48%</w:t>
            </w:r>
          </w:p>
        </w:tc>
        <w:tc>
          <w:tcPr>
            <w:tcW w:w="0" w:type="auto"/>
          </w:tcPr>
          <w:p w14:paraId="4A1E9957" w14:textId="77777777" w:rsidR="008D5A70" w:rsidRDefault="008D5A70" w:rsidP="002C3A25">
            <w:pPr>
              <w:jc w:val="center"/>
            </w:pPr>
            <w:r>
              <w:t>53%</w:t>
            </w:r>
          </w:p>
        </w:tc>
        <w:tc>
          <w:tcPr>
            <w:tcW w:w="0" w:type="auto"/>
          </w:tcPr>
          <w:p w14:paraId="12ED8CC1" w14:textId="77777777" w:rsidR="008D5A70" w:rsidRDefault="008D5A70" w:rsidP="002C3A25">
            <w:pPr>
              <w:jc w:val="center"/>
            </w:pPr>
            <w:r>
              <w:t>77.7 (82)</w:t>
            </w:r>
          </w:p>
        </w:tc>
      </w:tr>
      <w:tr w:rsidR="008D5A70" w14:paraId="202E4AEC" w14:textId="77777777" w:rsidTr="0BB0A80F">
        <w:trPr>
          <w:trHeight w:val="300"/>
        </w:trPr>
        <w:tc>
          <w:tcPr>
            <w:tcW w:w="0" w:type="auto"/>
          </w:tcPr>
          <w:p w14:paraId="57CC60C0" w14:textId="77777777" w:rsidR="008D5A70" w:rsidRDefault="008D5A70" w:rsidP="002C3A25">
            <w:r>
              <w:t>Male</w:t>
            </w:r>
          </w:p>
        </w:tc>
        <w:tc>
          <w:tcPr>
            <w:tcW w:w="0" w:type="auto"/>
          </w:tcPr>
          <w:p w14:paraId="56A88CC6" w14:textId="0546FA38" w:rsidR="008D5A70" w:rsidRDefault="008D5A70" w:rsidP="002C3A25">
            <w:pPr>
              <w:jc w:val="center"/>
            </w:pPr>
            <w:r>
              <w:t>52%</w:t>
            </w:r>
          </w:p>
        </w:tc>
        <w:tc>
          <w:tcPr>
            <w:tcW w:w="0" w:type="auto"/>
          </w:tcPr>
          <w:p w14:paraId="1B2D7EC5" w14:textId="77777777" w:rsidR="008D5A70" w:rsidRDefault="008D5A70" w:rsidP="002C3A25">
            <w:pPr>
              <w:jc w:val="center"/>
            </w:pPr>
            <w:r>
              <w:t>52%</w:t>
            </w:r>
          </w:p>
        </w:tc>
        <w:tc>
          <w:tcPr>
            <w:tcW w:w="0" w:type="auto"/>
          </w:tcPr>
          <w:p w14:paraId="3B650231" w14:textId="77777777" w:rsidR="008D5A70" w:rsidRDefault="008D5A70" w:rsidP="002C3A25">
            <w:pPr>
              <w:jc w:val="center"/>
            </w:pPr>
            <w:r>
              <w:t>47%</w:t>
            </w:r>
          </w:p>
        </w:tc>
        <w:tc>
          <w:tcPr>
            <w:tcW w:w="0" w:type="auto"/>
          </w:tcPr>
          <w:p w14:paraId="2D11D53D" w14:textId="77777777" w:rsidR="008D5A70" w:rsidRDefault="008D5A70" w:rsidP="002C3A25">
            <w:pPr>
              <w:jc w:val="center"/>
            </w:pPr>
            <w:r>
              <w:t>78.9 (71)</w:t>
            </w:r>
          </w:p>
        </w:tc>
      </w:tr>
      <w:tr w:rsidR="008D5A70" w14:paraId="7ED125FF" w14:textId="77777777" w:rsidTr="0BB0A80F">
        <w:trPr>
          <w:trHeight w:val="300"/>
        </w:trPr>
        <w:tc>
          <w:tcPr>
            <w:tcW w:w="0" w:type="auto"/>
          </w:tcPr>
          <w:p w14:paraId="2AFCF755" w14:textId="77777777" w:rsidR="008D5A70" w:rsidRDefault="008D5A70" w:rsidP="002C3A25">
            <w:r>
              <w:t>(Blank)</w:t>
            </w:r>
          </w:p>
        </w:tc>
        <w:tc>
          <w:tcPr>
            <w:tcW w:w="0" w:type="auto"/>
          </w:tcPr>
          <w:p w14:paraId="45A9492D" w14:textId="194546DC" w:rsidR="008D5A70" w:rsidRDefault="008D5A70" w:rsidP="002C3A25">
            <w:pPr>
              <w:jc w:val="center"/>
            </w:pPr>
            <w:r>
              <w:t>--</w:t>
            </w:r>
          </w:p>
        </w:tc>
        <w:tc>
          <w:tcPr>
            <w:tcW w:w="0" w:type="auto"/>
          </w:tcPr>
          <w:p w14:paraId="0A692043" w14:textId="77777777" w:rsidR="008D5A70" w:rsidRDefault="008D5A70" w:rsidP="002C3A25">
            <w:pPr>
              <w:jc w:val="center"/>
            </w:pPr>
            <w:r>
              <w:t>--</w:t>
            </w:r>
          </w:p>
        </w:tc>
        <w:tc>
          <w:tcPr>
            <w:tcW w:w="0" w:type="auto"/>
          </w:tcPr>
          <w:p w14:paraId="7E0766CE" w14:textId="77777777" w:rsidR="008D5A70" w:rsidRDefault="008D5A70" w:rsidP="002C3A25">
            <w:pPr>
              <w:jc w:val="center"/>
            </w:pPr>
            <w:r>
              <w:t>--</w:t>
            </w:r>
          </w:p>
        </w:tc>
        <w:tc>
          <w:tcPr>
            <w:tcW w:w="0" w:type="auto"/>
          </w:tcPr>
          <w:p w14:paraId="7CFFDD13" w14:textId="77777777" w:rsidR="008D5A70" w:rsidRDefault="008D5A70" w:rsidP="002C3A25">
            <w:pPr>
              <w:jc w:val="center"/>
            </w:pPr>
            <w:r>
              <w:t>--</w:t>
            </w:r>
          </w:p>
        </w:tc>
      </w:tr>
      <w:bookmarkEnd w:id="1"/>
    </w:tbl>
    <w:p w14:paraId="38ABB0D5" w14:textId="77777777" w:rsidR="005B6649" w:rsidRDefault="005B6649" w:rsidP="005B6649"/>
    <w:tbl>
      <w:tblPr>
        <w:tblStyle w:val="TableGrid"/>
        <w:tblW w:w="0" w:type="auto"/>
        <w:tblLook w:val="04A0" w:firstRow="1" w:lastRow="0" w:firstColumn="1" w:lastColumn="0" w:noHBand="0" w:noVBand="1"/>
        <w:tblCaption w:val="Table2"/>
        <w:tblDescription w:val="Percentages of population, valid population, and SSB survey respondents on region."/>
      </w:tblPr>
      <w:tblGrid>
        <w:gridCol w:w="1287"/>
        <w:gridCol w:w="1733"/>
        <w:gridCol w:w="1732"/>
        <w:gridCol w:w="2073"/>
        <w:gridCol w:w="1013"/>
      </w:tblGrid>
      <w:tr w:rsidR="005B6649" w:rsidRPr="00452466" w14:paraId="2DC871AF" w14:textId="77777777" w:rsidTr="0BB0A80F">
        <w:trPr>
          <w:trHeight w:val="300"/>
        </w:trPr>
        <w:tc>
          <w:tcPr>
            <w:tcW w:w="0" w:type="auto"/>
          </w:tcPr>
          <w:p w14:paraId="2DABA556" w14:textId="77777777" w:rsidR="005B6649" w:rsidRPr="00452466" w:rsidRDefault="005B6649" w:rsidP="002C3A25">
            <w:pPr>
              <w:rPr>
                <w:b/>
                <w:bCs/>
              </w:rPr>
            </w:pPr>
            <w:r w:rsidRPr="0BB0A80F">
              <w:rPr>
                <w:b/>
                <w:bCs/>
              </w:rPr>
              <w:t>Region</w:t>
            </w:r>
          </w:p>
        </w:tc>
        <w:tc>
          <w:tcPr>
            <w:tcW w:w="0" w:type="auto"/>
          </w:tcPr>
          <w:p w14:paraId="2CF2926F" w14:textId="77777777" w:rsidR="005B6649" w:rsidRPr="00452466" w:rsidRDefault="005B6649" w:rsidP="002C3A25">
            <w:pPr>
              <w:rPr>
                <w:b/>
                <w:bCs/>
              </w:rPr>
            </w:pPr>
            <w:r w:rsidRPr="0BB0A80F">
              <w:rPr>
                <w:b/>
                <w:bCs/>
              </w:rPr>
              <w:t>Total Population</w:t>
            </w:r>
          </w:p>
        </w:tc>
        <w:tc>
          <w:tcPr>
            <w:tcW w:w="0" w:type="auto"/>
          </w:tcPr>
          <w:p w14:paraId="70E87D05" w14:textId="77777777" w:rsidR="005B6649" w:rsidRPr="00452466" w:rsidRDefault="005B6649" w:rsidP="002C3A25">
            <w:pPr>
              <w:rPr>
                <w:b/>
                <w:bCs/>
              </w:rPr>
            </w:pPr>
            <w:r w:rsidRPr="0BB0A80F">
              <w:rPr>
                <w:b/>
                <w:bCs/>
              </w:rPr>
              <w:t>Valid Population</w:t>
            </w:r>
          </w:p>
        </w:tc>
        <w:tc>
          <w:tcPr>
            <w:tcW w:w="0" w:type="auto"/>
          </w:tcPr>
          <w:p w14:paraId="22111AB6" w14:textId="77777777" w:rsidR="005B6649" w:rsidRPr="00452466" w:rsidRDefault="005B6649" w:rsidP="002C3A25">
            <w:pPr>
              <w:rPr>
                <w:b/>
                <w:bCs/>
              </w:rPr>
            </w:pPr>
            <w:r w:rsidRPr="0BB0A80F">
              <w:rPr>
                <w:b/>
                <w:bCs/>
              </w:rPr>
              <w:t>Survey Respondents</w:t>
            </w:r>
          </w:p>
        </w:tc>
        <w:tc>
          <w:tcPr>
            <w:tcW w:w="0" w:type="auto"/>
          </w:tcPr>
          <w:p w14:paraId="053A6F32" w14:textId="77777777" w:rsidR="005B6649" w:rsidRPr="00452466" w:rsidRDefault="005B6649" w:rsidP="002C3A25">
            <w:pPr>
              <w:rPr>
                <w:b/>
                <w:bCs/>
              </w:rPr>
            </w:pPr>
            <w:proofErr w:type="spellStart"/>
            <w:r w:rsidRPr="0BB0A80F">
              <w:rPr>
                <w:b/>
                <w:bCs/>
              </w:rPr>
              <w:t>MnCSI</w:t>
            </w:r>
            <w:proofErr w:type="spellEnd"/>
          </w:p>
        </w:tc>
      </w:tr>
      <w:tr w:rsidR="005B6649" w:rsidRPr="00AA5A0A" w14:paraId="07989160" w14:textId="77777777" w:rsidTr="0BB0A80F">
        <w:trPr>
          <w:trHeight w:val="300"/>
        </w:trPr>
        <w:tc>
          <w:tcPr>
            <w:tcW w:w="0" w:type="auto"/>
          </w:tcPr>
          <w:p w14:paraId="7DBE19F7" w14:textId="77777777" w:rsidR="005B6649" w:rsidRDefault="005B6649" w:rsidP="002C3A25">
            <w:r>
              <w:t>Greater MN</w:t>
            </w:r>
          </w:p>
        </w:tc>
        <w:tc>
          <w:tcPr>
            <w:tcW w:w="0" w:type="auto"/>
          </w:tcPr>
          <w:p w14:paraId="00F71F4E" w14:textId="77777777" w:rsidR="005B6649" w:rsidRDefault="005B6649" w:rsidP="002C3A25">
            <w:pPr>
              <w:jc w:val="center"/>
            </w:pPr>
            <w:r>
              <w:t>39%</w:t>
            </w:r>
          </w:p>
        </w:tc>
        <w:tc>
          <w:tcPr>
            <w:tcW w:w="0" w:type="auto"/>
          </w:tcPr>
          <w:p w14:paraId="2378AF81" w14:textId="77777777" w:rsidR="005B6649" w:rsidRDefault="005B6649" w:rsidP="002C3A25">
            <w:pPr>
              <w:jc w:val="center"/>
            </w:pPr>
            <w:r>
              <w:t>38%</w:t>
            </w:r>
          </w:p>
        </w:tc>
        <w:tc>
          <w:tcPr>
            <w:tcW w:w="0" w:type="auto"/>
          </w:tcPr>
          <w:p w14:paraId="67F1BC3B" w14:textId="77777777" w:rsidR="005B6649" w:rsidRPr="00AA5A0A" w:rsidRDefault="005B6649" w:rsidP="002C3A25">
            <w:pPr>
              <w:jc w:val="center"/>
            </w:pPr>
            <w:r>
              <w:t>39%</w:t>
            </w:r>
          </w:p>
        </w:tc>
        <w:tc>
          <w:tcPr>
            <w:tcW w:w="0" w:type="auto"/>
          </w:tcPr>
          <w:p w14:paraId="3FCF1D01" w14:textId="77777777" w:rsidR="005B6649" w:rsidRPr="00AA5A0A" w:rsidRDefault="005B6649" w:rsidP="002C3A25">
            <w:pPr>
              <w:jc w:val="center"/>
            </w:pPr>
            <w:r>
              <w:t>75.9 (63)</w:t>
            </w:r>
          </w:p>
        </w:tc>
      </w:tr>
      <w:tr w:rsidR="005B6649" w:rsidRPr="00AA5A0A" w14:paraId="377D7B98" w14:textId="77777777" w:rsidTr="0BB0A80F">
        <w:trPr>
          <w:trHeight w:val="300"/>
        </w:trPr>
        <w:tc>
          <w:tcPr>
            <w:tcW w:w="0" w:type="auto"/>
          </w:tcPr>
          <w:p w14:paraId="030DB378" w14:textId="77777777" w:rsidR="005B6649" w:rsidRDefault="005B6649" w:rsidP="002C3A25">
            <w:r>
              <w:t>Metro</w:t>
            </w:r>
          </w:p>
        </w:tc>
        <w:tc>
          <w:tcPr>
            <w:tcW w:w="0" w:type="auto"/>
          </w:tcPr>
          <w:p w14:paraId="3FAAC0C9" w14:textId="77777777" w:rsidR="005B6649" w:rsidRDefault="005B6649" w:rsidP="002C3A25">
            <w:pPr>
              <w:jc w:val="center"/>
            </w:pPr>
            <w:r>
              <w:t>60%</w:t>
            </w:r>
          </w:p>
        </w:tc>
        <w:tc>
          <w:tcPr>
            <w:tcW w:w="0" w:type="auto"/>
          </w:tcPr>
          <w:p w14:paraId="14B2AFB9" w14:textId="77777777" w:rsidR="005B6649" w:rsidRDefault="005B6649" w:rsidP="002C3A25">
            <w:pPr>
              <w:jc w:val="center"/>
            </w:pPr>
            <w:r>
              <w:t>61%</w:t>
            </w:r>
          </w:p>
        </w:tc>
        <w:tc>
          <w:tcPr>
            <w:tcW w:w="0" w:type="auto"/>
          </w:tcPr>
          <w:p w14:paraId="260C0860" w14:textId="77777777" w:rsidR="005B6649" w:rsidRPr="00AA5A0A" w:rsidRDefault="005B6649" w:rsidP="002C3A25">
            <w:pPr>
              <w:jc w:val="center"/>
            </w:pPr>
            <w:r>
              <w:t>59%</w:t>
            </w:r>
          </w:p>
        </w:tc>
        <w:tc>
          <w:tcPr>
            <w:tcW w:w="0" w:type="auto"/>
          </w:tcPr>
          <w:p w14:paraId="36AA1F3F" w14:textId="77777777" w:rsidR="005B6649" w:rsidRPr="00AA5A0A" w:rsidRDefault="005B6649" w:rsidP="002C3A25">
            <w:pPr>
              <w:jc w:val="center"/>
            </w:pPr>
            <w:r>
              <w:t>79.8 (88)</w:t>
            </w:r>
          </w:p>
        </w:tc>
      </w:tr>
      <w:tr w:rsidR="005B6649" w:rsidRPr="00AA5A0A" w14:paraId="1A4439E8" w14:textId="77777777" w:rsidTr="0BB0A80F">
        <w:trPr>
          <w:trHeight w:val="300"/>
        </w:trPr>
        <w:tc>
          <w:tcPr>
            <w:tcW w:w="0" w:type="auto"/>
          </w:tcPr>
          <w:p w14:paraId="63FB498A" w14:textId="77777777" w:rsidR="005B6649" w:rsidRDefault="005B6649" w:rsidP="002C3A25">
            <w:r>
              <w:t>NULL</w:t>
            </w:r>
          </w:p>
        </w:tc>
        <w:tc>
          <w:tcPr>
            <w:tcW w:w="0" w:type="auto"/>
          </w:tcPr>
          <w:p w14:paraId="3A410C60" w14:textId="77777777" w:rsidR="005B6649" w:rsidRDefault="005B6649" w:rsidP="002C3A25">
            <w:pPr>
              <w:jc w:val="center"/>
            </w:pPr>
            <w:r>
              <w:t>&lt;1%</w:t>
            </w:r>
          </w:p>
        </w:tc>
        <w:tc>
          <w:tcPr>
            <w:tcW w:w="0" w:type="auto"/>
          </w:tcPr>
          <w:p w14:paraId="6C847F29" w14:textId="77777777" w:rsidR="005B6649" w:rsidRDefault="005B6649" w:rsidP="002C3A25">
            <w:pPr>
              <w:jc w:val="center"/>
            </w:pPr>
            <w:r>
              <w:t>1%</w:t>
            </w:r>
          </w:p>
        </w:tc>
        <w:tc>
          <w:tcPr>
            <w:tcW w:w="0" w:type="auto"/>
          </w:tcPr>
          <w:p w14:paraId="320F4241" w14:textId="77777777" w:rsidR="005B6649" w:rsidRPr="00AA5A0A" w:rsidRDefault="005B6649" w:rsidP="002C3A25">
            <w:pPr>
              <w:jc w:val="center"/>
            </w:pPr>
            <w:r>
              <w:t>2%</w:t>
            </w:r>
          </w:p>
        </w:tc>
        <w:tc>
          <w:tcPr>
            <w:tcW w:w="0" w:type="auto"/>
          </w:tcPr>
          <w:p w14:paraId="0E6D82EB" w14:textId="77777777" w:rsidR="005B6649" w:rsidRPr="00AA5A0A" w:rsidRDefault="005B6649" w:rsidP="002C3A25">
            <w:pPr>
              <w:jc w:val="center"/>
            </w:pPr>
            <w:r>
              <w:t>81.4 (3)</w:t>
            </w:r>
          </w:p>
        </w:tc>
      </w:tr>
    </w:tbl>
    <w:p w14:paraId="466E262A" w14:textId="77777777" w:rsidR="005B6649" w:rsidRDefault="005B6649" w:rsidP="005B6649"/>
    <w:tbl>
      <w:tblPr>
        <w:tblStyle w:val="TableGrid"/>
        <w:tblW w:w="0" w:type="auto"/>
        <w:tblLook w:val="04A0" w:firstRow="1" w:lastRow="0" w:firstColumn="1" w:lastColumn="0" w:noHBand="0" w:noVBand="1"/>
        <w:tblCaption w:val="Table3"/>
        <w:tblDescription w:val="Percentages of population, valid population, and SSB survey respondents on SSB customer status."/>
      </w:tblPr>
      <w:tblGrid>
        <w:gridCol w:w="2097"/>
        <w:gridCol w:w="1733"/>
        <w:gridCol w:w="1732"/>
        <w:gridCol w:w="2073"/>
        <w:gridCol w:w="1124"/>
      </w:tblGrid>
      <w:tr w:rsidR="005B6649" w:rsidRPr="00452466" w14:paraId="1A9AF99A" w14:textId="77777777" w:rsidTr="0BB0A80F">
        <w:trPr>
          <w:trHeight w:val="300"/>
        </w:trPr>
        <w:tc>
          <w:tcPr>
            <w:tcW w:w="0" w:type="auto"/>
          </w:tcPr>
          <w:p w14:paraId="0ABAEB88" w14:textId="77777777" w:rsidR="005B6649" w:rsidRPr="00452466" w:rsidRDefault="005B6649" w:rsidP="002C3A25">
            <w:pPr>
              <w:rPr>
                <w:b/>
                <w:bCs/>
              </w:rPr>
            </w:pPr>
            <w:r w:rsidRPr="0BB0A80F">
              <w:rPr>
                <w:b/>
                <w:bCs/>
              </w:rPr>
              <w:t>SSB Status</w:t>
            </w:r>
          </w:p>
        </w:tc>
        <w:tc>
          <w:tcPr>
            <w:tcW w:w="0" w:type="auto"/>
          </w:tcPr>
          <w:p w14:paraId="3FEA84D1" w14:textId="77777777" w:rsidR="005B6649" w:rsidRPr="00452466" w:rsidRDefault="005B6649" w:rsidP="002C3A25">
            <w:pPr>
              <w:rPr>
                <w:b/>
                <w:bCs/>
              </w:rPr>
            </w:pPr>
            <w:r w:rsidRPr="0BB0A80F">
              <w:rPr>
                <w:b/>
                <w:bCs/>
              </w:rPr>
              <w:t>Total Population</w:t>
            </w:r>
          </w:p>
        </w:tc>
        <w:tc>
          <w:tcPr>
            <w:tcW w:w="0" w:type="auto"/>
          </w:tcPr>
          <w:p w14:paraId="22F6198C" w14:textId="77777777" w:rsidR="005B6649" w:rsidRPr="00452466" w:rsidRDefault="005B6649" w:rsidP="002C3A25">
            <w:pPr>
              <w:rPr>
                <w:b/>
                <w:bCs/>
              </w:rPr>
            </w:pPr>
            <w:r w:rsidRPr="0BB0A80F">
              <w:rPr>
                <w:b/>
                <w:bCs/>
              </w:rPr>
              <w:t>Valid Population</w:t>
            </w:r>
          </w:p>
        </w:tc>
        <w:tc>
          <w:tcPr>
            <w:tcW w:w="0" w:type="auto"/>
          </w:tcPr>
          <w:p w14:paraId="563EDE9C" w14:textId="77777777" w:rsidR="005B6649" w:rsidRPr="00452466" w:rsidRDefault="005B6649" w:rsidP="002C3A25">
            <w:pPr>
              <w:rPr>
                <w:b/>
                <w:bCs/>
              </w:rPr>
            </w:pPr>
            <w:r w:rsidRPr="0BB0A80F">
              <w:rPr>
                <w:b/>
                <w:bCs/>
              </w:rPr>
              <w:t>Survey Respondents</w:t>
            </w:r>
          </w:p>
        </w:tc>
        <w:tc>
          <w:tcPr>
            <w:tcW w:w="0" w:type="auto"/>
          </w:tcPr>
          <w:p w14:paraId="44EEDCD7" w14:textId="77777777" w:rsidR="005B6649" w:rsidRPr="00452466" w:rsidRDefault="005B6649" w:rsidP="002C3A25">
            <w:pPr>
              <w:rPr>
                <w:b/>
                <w:bCs/>
              </w:rPr>
            </w:pPr>
            <w:proofErr w:type="spellStart"/>
            <w:r w:rsidRPr="0BB0A80F">
              <w:rPr>
                <w:b/>
                <w:bCs/>
              </w:rPr>
              <w:t>MnCSI</w:t>
            </w:r>
            <w:proofErr w:type="spellEnd"/>
          </w:p>
        </w:tc>
      </w:tr>
      <w:tr w:rsidR="005B6649" w14:paraId="1750EBEC" w14:textId="77777777" w:rsidTr="0BB0A80F">
        <w:trPr>
          <w:trHeight w:val="300"/>
        </w:trPr>
        <w:tc>
          <w:tcPr>
            <w:tcW w:w="0" w:type="auto"/>
          </w:tcPr>
          <w:p w14:paraId="46664616" w14:textId="77777777" w:rsidR="005B6649" w:rsidRDefault="005B6649" w:rsidP="002C3A25">
            <w:r>
              <w:t>Successful Closure</w:t>
            </w:r>
          </w:p>
        </w:tc>
        <w:tc>
          <w:tcPr>
            <w:tcW w:w="0" w:type="auto"/>
          </w:tcPr>
          <w:p w14:paraId="5C9B9C39" w14:textId="77777777" w:rsidR="005B6649" w:rsidRDefault="005B6649" w:rsidP="002C3A25">
            <w:pPr>
              <w:jc w:val="center"/>
            </w:pPr>
            <w:r>
              <w:t>7%</w:t>
            </w:r>
          </w:p>
        </w:tc>
        <w:tc>
          <w:tcPr>
            <w:tcW w:w="0" w:type="auto"/>
          </w:tcPr>
          <w:p w14:paraId="58C51591" w14:textId="77777777" w:rsidR="005B6649" w:rsidRDefault="005B6649" w:rsidP="002C3A25">
            <w:pPr>
              <w:jc w:val="center"/>
            </w:pPr>
            <w:r>
              <w:t>7%</w:t>
            </w:r>
          </w:p>
        </w:tc>
        <w:tc>
          <w:tcPr>
            <w:tcW w:w="0" w:type="auto"/>
          </w:tcPr>
          <w:p w14:paraId="1BD933DE" w14:textId="77777777" w:rsidR="005B6649" w:rsidRDefault="005B6649" w:rsidP="002C3A25">
            <w:pPr>
              <w:jc w:val="center"/>
            </w:pPr>
            <w:r>
              <w:t>8%</w:t>
            </w:r>
          </w:p>
        </w:tc>
        <w:tc>
          <w:tcPr>
            <w:tcW w:w="0" w:type="auto"/>
          </w:tcPr>
          <w:p w14:paraId="76A79D78" w14:textId="77777777" w:rsidR="005B6649" w:rsidRDefault="005B6649" w:rsidP="002C3A25">
            <w:pPr>
              <w:jc w:val="center"/>
            </w:pPr>
            <w:r>
              <w:t>83.6 (15)</w:t>
            </w:r>
          </w:p>
        </w:tc>
      </w:tr>
      <w:tr w:rsidR="005B6649" w14:paraId="018DC818" w14:textId="77777777" w:rsidTr="0BB0A80F">
        <w:trPr>
          <w:trHeight w:val="300"/>
        </w:trPr>
        <w:tc>
          <w:tcPr>
            <w:tcW w:w="0" w:type="auto"/>
          </w:tcPr>
          <w:p w14:paraId="167782CC" w14:textId="77777777" w:rsidR="005B6649" w:rsidRDefault="005B6649" w:rsidP="002C3A25">
            <w:r>
              <w:t>Unsuccessful Closure</w:t>
            </w:r>
          </w:p>
        </w:tc>
        <w:tc>
          <w:tcPr>
            <w:tcW w:w="0" w:type="auto"/>
          </w:tcPr>
          <w:p w14:paraId="01E17938" w14:textId="77777777" w:rsidR="005B6649" w:rsidRDefault="005B6649" w:rsidP="002C3A25">
            <w:pPr>
              <w:jc w:val="center"/>
            </w:pPr>
            <w:r>
              <w:t>3%</w:t>
            </w:r>
          </w:p>
        </w:tc>
        <w:tc>
          <w:tcPr>
            <w:tcW w:w="0" w:type="auto"/>
          </w:tcPr>
          <w:p w14:paraId="41F41A28" w14:textId="77777777" w:rsidR="005B6649" w:rsidRDefault="005B6649" w:rsidP="002C3A25">
            <w:pPr>
              <w:jc w:val="center"/>
            </w:pPr>
            <w:r>
              <w:t>2%</w:t>
            </w:r>
          </w:p>
        </w:tc>
        <w:tc>
          <w:tcPr>
            <w:tcW w:w="0" w:type="auto"/>
          </w:tcPr>
          <w:p w14:paraId="4C9C4EF1" w14:textId="77777777" w:rsidR="005B6649" w:rsidRDefault="005B6649" w:rsidP="002C3A25">
            <w:pPr>
              <w:jc w:val="center"/>
            </w:pPr>
            <w:r>
              <w:t>1%</w:t>
            </w:r>
          </w:p>
        </w:tc>
        <w:tc>
          <w:tcPr>
            <w:tcW w:w="0" w:type="auto"/>
          </w:tcPr>
          <w:p w14:paraId="238D5F4D" w14:textId="77777777" w:rsidR="005B6649" w:rsidRDefault="005B6649" w:rsidP="002C3A25">
            <w:pPr>
              <w:jc w:val="center"/>
            </w:pPr>
            <w:r>
              <w:t>--</w:t>
            </w:r>
          </w:p>
        </w:tc>
      </w:tr>
      <w:tr w:rsidR="005B6649" w14:paraId="0FF10C05" w14:textId="77777777" w:rsidTr="0BB0A80F">
        <w:trPr>
          <w:trHeight w:val="300"/>
        </w:trPr>
        <w:tc>
          <w:tcPr>
            <w:tcW w:w="0" w:type="auto"/>
          </w:tcPr>
          <w:p w14:paraId="37420042" w14:textId="77777777" w:rsidR="005B6649" w:rsidRDefault="005B6649" w:rsidP="002C3A25">
            <w:r>
              <w:t>In-progress</w:t>
            </w:r>
          </w:p>
        </w:tc>
        <w:tc>
          <w:tcPr>
            <w:tcW w:w="0" w:type="auto"/>
          </w:tcPr>
          <w:p w14:paraId="7A10BF03" w14:textId="77777777" w:rsidR="005B6649" w:rsidRDefault="005B6649" w:rsidP="002C3A25">
            <w:pPr>
              <w:jc w:val="center"/>
            </w:pPr>
            <w:r>
              <w:t>88%</w:t>
            </w:r>
          </w:p>
        </w:tc>
        <w:tc>
          <w:tcPr>
            <w:tcW w:w="0" w:type="auto"/>
          </w:tcPr>
          <w:p w14:paraId="6F7CD5FD" w14:textId="77777777" w:rsidR="005B6649" w:rsidRDefault="005B6649" w:rsidP="002C3A25">
            <w:pPr>
              <w:jc w:val="center"/>
            </w:pPr>
            <w:r>
              <w:t>89%</w:t>
            </w:r>
          </w:p>
        </w:tc>
        <w:tc>
          <w:tcPr>
            <w:tcW w:w="0" w:type="auto"/>
          </w:tcPr>
          <w:p w14:paraId="232A4D83" w14:textId="77777777" w:rsidR="005B6649" w:rsidRDefault="005B6649" w:rsidP="002C3A25">
            <w:pPr>
              <w:jc w:val="center"/>
            </w:pPr>
            <w:r>
              <w:t>90%</w:t>
            </w:r>
          </w:p>
        </w:tc>
        <w:tc>
          <w:tcPr>
            <w:tcW w:w="0" w:type="auto"/>
          </w:tcPr>
          <w:p w14:paraId="28EC6525" w14:textId="77777777" w:rsidR="005B6649" w:rsidRDefault="005B6649" w:rsidP="002C3A25">
            <w:pPr>
              <w:jc w:val="center"/>
            </w:pPr>
            <w:r>
              <w:t>77.5 (138)</w:t>
            </w:r>
          </w:p>
        </w:tc>
      </w:tr>
      <w:tr w:rsidR="005B6649" w14:paraId="31CB9FDC" w14:textId="77777777" w:rsidTr="0BB0A80F">
        <w:trPr>
          <w:trHeight w:val="300"/>
        </w:trPr>
        <w:tc>
          <w:tcPr>
            <w:tcW w:w="0" w:type="auto"/>
          </w:tcPr>
          <w:p w14:paraId="2D66CB8C" w14:textId="77777777" w:rsidR="005B6649" w:rsidRDefault="005B6649" w:rsidP="002C3A25">
            <w:r>
              <w:t>(Blank)</w:t>
            </w:r>
          </w:p>
        </w:tc>
        <w:tc>
          <w:tcPr>
            <w:tcW w:w="0" w:type="auto"/>
          </w:tcPr>
          <w:p w14:paraId="5B9B8862" w14:textId="77777777" w:rsidR="005B6649" w:rsidRDefault="005B6649" w:rsidP="002C3A25">
            <w:pPr>
              <w:jc w:val="center"/>
            </w:pPr>
            <w:r>
              <w:t>2%</w:t>
            </w:r>
          </w:p>
        </w:tc>
        <w:tc>
          <w:tcPr>
            <w:tcW w:w="0" w:type="auto"/>
          </w:tcPr>
          <w:p w14:paraId="78CBFF39" w14:textId="77777777" w:rsidR="005B6649" w:rsidRDefault="005B6649" w:rsidP="002C3A25">
            <w:pPr>
              <w:jc w:val="center"/>
            </w:pPr>
            <w:r>
              <w:t>1%</w:t>
            </w:r>
          </w:p>
        </w:tc>
        <w:tc>
          <w:tcPr>
            <w:tcW w:w="0" w:type="auto"/>
          </w:tcPr>
          <w:p w14:paraId="450B35ED" w14:textId="77777777" w:rsidR="005B6649" w:rsidRDefault="005B6649" w:rsidP="002C3A25">
            <w:pPr>
              <w:jc w:val="center"/>
            </w:pPr>
            <w:r>
              <w:t>1%</w:t>
            </w:r>
          </w:p>
        </w:tc>
        <w:tc>
          <w:tcPr>
            <w:tcW w:w="0" w:type="auto"/>
          </w:tcPr>
          <w:p w14:paraId="5A20A7A1" w14:textId="77777777" w:rsidR="005B6649" w:rsidRDefault="005B6649" w:rsidP="002C3A25">
            <w:pPr>
              <w:jc w:val="center"/>
            </w:pPr>
            <w:r>
              <w:t>--</w:t>
            </w:r>
          </w:p>
        </w:tc>
      </w:tr>
    </w:tbl>
    <w:p w14:paraId="6BC082A0" w14:textId="77777777" w:rsidR="005B6649" w:rsidRDefault="005B6649" w:rsidP="005B6649"/>
    <w:tbl>
      <w:tblPr>
        <w:tblStyle w:val="TableGrid"/>
        <w:tblW w:w="0" w:type="auto"/>
        <w:tblLook w:val="04A0" w:firstRow="1" w:lastRow="0" w:firstColumn="1" w:lastColumn="0" w:noHBand="0" w:noVBand="1"/>
        <w:tblCaption w:val="Table4"/>
        <w:tblDescription w:val="Percentages of population, valid population, and SSB survey respondents on ethnicity"/>
      </w:tblPr>
      <w:tblGrid>
        <w:gridCol w:w="1990"/>
        <w:gridCol w:w="1733"/>
        <w:gridCol w:w="1732"/>
        <w:gridCol w:w="2073"/>
        <w:gridCol w:w="1124"/>
      </w:tblGrid>
      <w:tr w:rsidR="005B6649" w:rsidRPr="00452466" w14:paraId="7E3159E8" w14:textId="77777777" w:rsidTr="0BB0A80F">
        <w:trPr>
          <w:trHeight w:val="300"/>
        </w:trPr>
        <w:tc>
          <w:tcPr>
            <w:tcW w:w="0" w:type="auto"/>
          </w:tcPr>
          <w:p w14:paraId="53602DCF" w14:textId="77777777" w:rsidR="005B6649" w:rsidRPr="00452466" w:rsidRDefault="005B6649" w:rsidP="002C3A25">
            <w:pPr>
              <w:rPr>
                <w:b/>
                <w:bCs/>
              </w:rPr>
            </w:pPr>
            <w:r w:rsidRPr="0BB0A80F">
              <w:rPr>
                <w:b/>
                <w:bCs/>
              </w:rPr>
              <w:t>Ethnicity</w:t>
            </w:r>
          </w:p>
        </w:tc>
        <w:tc>
          <w:tcPr>
            <w:tcW w:w="0" w:type="auto"/>
          </w:tcPr>
          <w:p w14:paraId="2BCA3771" w14:textId="77777777" w:rsidR="005B6649" w:rsidRPr="00452466" w:rsidRDefault="005B6649" w:rsidP="002C3A25">
            <w:pPr>
              <w:rPr>
                <w:b/>
                <w:bCs/>
              </w:rPr>
            </w:pPr>
            <w:r w:rsidRPr="0BB0A80F">
              <w:rPr>
                <w:b/>
                <w:bCs/>
              </w:rPr>
              <w:t>Total Population</w:t>
            </w:r>
          </w:p>
        </w:tc>
        <w:tc>
          <w:tcPr>
            <w:tcW w:w="0" w:type="auto"/>
          </w:tcPr>
          <w:p w14:paraId="07BDAA58" w14:textId="77777777" w:rsidR="005B6649" w:rsidRPr="00452466" w:rsidRDefault="005B6649" w:rsidP="002C3A25">
            <w:pPr>
              <w:rPr>
                <w:b/>
                <w:bCs/>
              </w:rPr>
            </w:pPr>
            <w:r w:rsidRPr="0BB0A80F">
              <w:rPr>
                <w:b/>
                <w:bCs/>
              </w:rPr>
              <w:t>Valid Population</w:t>
            </w:r>
          </w:p>
        </w:tc>
        <w:tc>
          <w:tcPr>
            <w:tcW w:w="0" w:type="auto"/>
          </w:tcPr>
          <w:p w14:paraId="123C9F9A" w14:textId="77777777" w:rsidR="005B6649" w:rsidRPr="00452466" w:rsidRDefault="005B6649" w:rsidP="002C3A25">
            <w:pPr>
              <w:rPr>
                <w:b/>
                <w:bCs/>
              </w:rPr>
            </w:pPr>
            <w:r w:rsidRPr="0BB0A80F">
              <w:rPr>
                <w:b/>
                <w:bCs/>
              </w:rPr>
              <w:t>Survey Respondents</w:t>
            </w:r>
          </w:p>
        </w:tc>
        <w:tc>
          <w:tcPr>
            <w:tcW w:w="0" w:type="auto"/>
          </w:tcPr>
          <w:p w14:paraId="3AC3A22D" w14:textId="77777777" w:rsidR="005B6649" w:rsidRPr="00452466" w:rsidRDefault="005B6649" w:rsidP="002C3A25">
            <w:pPr>
              <w:rPr>
                <w:b/>
                <w:bCs/>
              </w:rPr>
            </w:pPr>
            <w:proofErr w:type="spellStart"/>
            <w:r w:rsidRPr="0BB0A80F">
              <w:rPr>
                <w:b/>
                <w:bCs/>
              </w:rPr>
              <w:t>MnCSI</w:t>
            </w:r>
            <w:proofErr w:type="spellEnd"/>
          </w:p>
        </w:tc>
      </w:tr>
      <w:tr w:rsidR="005B6649" w14:paraId="61E97F68" w14:textId="77777777" w:rsidTr="0BB0A80F">
        <w:trPr>
          <w:trHeight w:val="300"/>
        </w:trPr>
        <w:tc>
          <w:tcPr>
            <w:tcW w:w="0" w:type="auto"/>
          </w:tcPr>
          <w:p w14:paraId="46531703" w14:textId="77777777" w:rsidR="005B6649" w:rsidRDefault="005B6649" w:rsidP="002C3A25">
            <w:r>
              <w:t>Hispanic/Latino</w:t>
            </w:r>
          </w:p>
        </w:tc>
        <w:tc>
          <w:tcPr>
            <w:tcW w:w="0" w:type="auto"/>
          </w:tcPr>
          <w:p w14:paraId="7CA6A022" w14:textId="77777777" w:rsidR="005B6649" w:rsidRDefault="005B6649" w:rsidP="002C3A25">
            <w:pPr>
              <w:jc w:val="center"/>
            </w:pPr>
            <w:r>
              <w:t>7%</w:t>
            </w:r>
          </w:p>
        </w:tc>
        <w:tc>
          <w:tcPr>
            <w:tcW w:w="0" w:type="auto"/>
          </w:tcPr>
          <w:p w14:paraId="1F5A3496" w14:textId="77777777" w:rsidR="005B6649" w:rsidRDefault="005B6649" w:rsidP="002C3A25">
            <w:pPr>
              <w:jc w:val="center"/>
            </w:pPr>
            <w:r>
              <w:t>7%</w:t>
            </w:r>
          </w:p>
        </w:tc>
        <w:tc>
          <w:tcPr>
            <w:tcW w:w="0" w:type="auto"/>
          </w:tcPr>
          <w:p w14:paraId="62A01843" w14:textId="77777777" w:rsidR="005B6649" w:rsidRDefault="005B6649" w:rsidP="002C3A25">
            <w:pPr>
              <w:jc w:val="center"/>
            </w:pPr>
            <w:r>
              <w:t>5%</w:t>
            </w:r>
          </w:p>
        </w:tc>
        <w:tc>
          <w:tcPr>
            <w:tcW w:w="0" w:type="auto"/>
          </w:tcPr>
          <w:p w14:paraId="32CF9DE7" w14:textId="77777777" w:rsidR="005B6649" w:rsidRDefault="005B6649" w:rsidP="002C3A25">
            <w:pPr>
              <w:jc w:val="center"/>
            </w:pPr>
            <w:r>
              <w:t>81.4 (8)</w:t>
            </w:r>
          </w:p>
        </w:tc>
      </w:tr>
      <w:tr w:rsidR="005B6649" w14:paraId="4992B869" w14:textId="77777777" w:rsidTr="0BB0A80F">
        <w:trPr>
          <w:trHeight w:val="300"/>
        </w:trPr>
        <w:tc>
          <w:tcPr>
            <w:tcW w:w="0" w:type="auto"/>
          </w:tcPr>
          <w:p w14:paraId="55C9A67A" w14:textId="77777777" w:rsidR="005B6649" w:rsidRDefault="005B6649" w:rsidP="002C3A25">
            <w:r>
              <w:t>Not Hispanic/Latino</w:t>
            </w:r>
          </w:p>
        </w:tc>
        <w:tc>
          <w:tcPr>
            <w:tcW w:w="0" w:type="auto"/>
          </w:tcPr>
          <w:p w14:paraId="34046D2A" w14:textId="77777777" w:rsidR="005B6649" w:rsidRDefault="005B6649" w:rsidP="002C3A25">
            <w:pPr>
              <w:jc w:val="center"/>
            </w:pPr>
            <w:r>
              <w:t>91%</w:t>
            </w:r>
          </w:p>
        </w:tc>
        <w:tc>
          <w:tcPr>
            <w:tcW w:w="0" w:type="auto"/>
          </w:tcPr>
          <w:p w14:paraId="28DCABBE" w14:textId="77777777" w:rsidR="005B6649" w:rsidRDefault="005B6649" w:rsidP="002C3A25">
            <w:pPr>
              <w:jc w:val="center"/>
            </w:pPr>
            <w:r>
              <w:t>91%</w:t>
            </w:r>
          </w:p>
        </w:tc>
        <w:tc>
          <w:tcPr>
            <w:tcW w:w="0" w:type="auto"/>
          </w:tcPr>
          <w:p w14:paraId="34B55671" w14:textId="77777777" w:rsidR="005B6649" w:rsidRDefault="005B6649" w:rsidP="002C3A25">
            <w:pPr>
              <w:jc w:val="center"/>
            </w:pPr>
            <w:r>
              <w:t>92%</w:t>
            </w:r>
          </w:p>
        </w:tc>
        <w:tc>
          <w:tcPr>
            <w:tcW w:w="0" w:type="auto"/>
          </w:tcPr>
          <w:p w14:paraId="2BC1EC4B" w14:textId="77777777" w:rsidR="005B6649" w:rsidRDefault="005B6649" w:rsidP="002C3A25">
            <w:pPr>
              <w:jc w:val="center"/>
            </w:pPr>
            <w:r>
              <w:t>78.0 (143)</w:t>
            </w:r>
          </w:p>
        </w:tc>
      </w:tr>
      <w:tr w:rsidR="005B6649" w14:paraId="303E4E69" w14:textId="77777777" w:rsidTr="0BB0A80F">
        <w:trPr>
          <w:trHeight w:val="300"/>
        </w:trPr>
        <w:tc>
          <w:tcPr>
            <w:tcW w:w="0" w:type="auto"/>
          </w:tcPr>
          <w:p w14:paraId="1CB972B5" w14:textId="77777777" w:rsidR="005B6649" w:rsidRDefault="005B6649" w:rsidP="002C3A25">
            <w:r>
              <w:t>Did not self-identify</w:t>
            </w:r>
          </w:p>
        </w:tc>
        <w:tc>
          <w:tcPr>
            <w:tcW w:w="0" w:type="auto"/>
          </w:tcPr>
          <w:p w14:paraId="11724613" w14:textId="77777777" w:rsidR="005B6649" w:rsidRDefault="005B6649" w:rsidP="002C3A25">
            <w:pPr>
              <w:jc w:val="center"/>
            </w:pPr>
            <w:r>
              <w:t>2%</w:t>
            </w:r>
          </w:p>
        </w:tc>
        <w:tc>
          <w:tcPr>
            <w:tcW w:w="0" w:type="auto"/>
          </w:tcPr>
          <w:p w14:paraId="67F702D8" w14:textId="77777777" w:rsidR="005B6649" w:rsidRDefault="005B6649" w:rsidP="002C3A25">
            <w:pPr>
              <w:jc w:val="center"/>
            </w:pPr>
            <w:r>
              <w:t>2%</w:t>
            </w:r>
          </w:p>
        </w:tc>
        <w:tc>
          <w:tcPr>
            <w:tcW w:w="0" w:type="auto"/>
          </w:tcPr>
          <w:p w14:paraId="0A34FE4D" w14:textId="77777777" w:rsidR="005B6649" w:rsidRDefault="005B6649" w:rsidP="002C3A25">
            <w:pPr>
              <w:jc w:val="center"/>
            </w:pPr>
            <w:r>
              <w:t>2%</w:t>
            </w:r>
          </w:p>
        </w:tc>
        <w:tc>
          <w:tcPr>
            <w:tcW w:w="0" w:type="auto"/>
          </w:tcPr>
          <w:p w14:paraId="2E0C7DAE" w14:textId="77777777" w:rsidR="005B6649" w:rsidRDefault="005B6649" w:rsidP="002C3A25">
            <w:pPr>
              <w:jc w:val="center"/>
            </w:pPr>
            <w:r>
              <w:t>--</w:t>
            </w:r>
          </w:p>
        </w:tc>
      </w:tr>
      <w:tr w:rsidR="005B6649" w14:paraId="0E506FC4" w14:textId="77777777" w:rsidTr="0BB0A80F">
        <w:trPr>
          <w:trHeight w:val="300"/>
        </w:trPr>
        <w:tc>
          <w:tcPr>
            <w:tcW w:w="0" w:type="auto"/>
          </w:tcPr>
          <w:p w14:paraId="6152CF96" w14:textId="77777777" w:rsidR="005B6649" w:rsidRDefault="005B6649" w:rsidP="002C3A25">
            <w:r>
              <w:t>(Blank)</w:t>
            </w:r>
          </w:p>
        </w:tc>
        <w:tc>
          <w:tcPr>
            <w:tcW w:w="0" w:type="auto"/>
          </w:tcPr>
          <w:p w14:paraId="40F2853C" w14:textId="77777777" w:rsidR="005B6649" w:rsidRDefault="005B6649" w:rsidP="002C3A25">
            <w:pPr>
              <w:jc w:val="center"/>
            </w:pPr>
            <w:r>
              <w:t>&lt;1%</w:t>
            </w:r>
          </w:p>
        </w:tc>
        <w:tc>
          <w:tcPr>
            <w:tcW w:w="0" w:type="auto"/>
          </w:tcPr>
          <w:p w14:paraId="32EE1D2C" w14:textId="77777777" w:rsidR="005B6649" w:rsidRDefault="005B6649" w:rsidP="002C3A25">
            <w:pPr>
              <w:jc w:val="center"/>
            </w:pPr>
            <w:r>
              <w:t>&lt;1%</w:t>
            </w:r>
          </w:p>
        </w:tc>
        <w:tc>
          <w:tcPr>
            <w:tcW w:w="0" w:type="auto"/>
          </w:tcPr>
          <w:p w14:paraId="73E1FAAC" w14:textId="77777777" w:rsidR="005B6649" w:rsidRDefault="005B6649" w:rsidP="002C3A25">
            <w:pPr>
              <w:jc w:val="center"/>
            </w:pPr>
            <w:r>
              <w:t>1%</w:t>
            </w:r>
          </w:p>
        </w:tc>
        <w:tc>
          <w:tcPr>
            <w:tcW w:w="0" w:type="auto"/>
          </w:tcPr>
          <w:p w14:paraId="3F5A8295" w14:textId="77777777" w:rsidR="005B6649" w:rsidRDefault="005B6649" w:rsidP="002C3A25">
            <w:pPr>
              <w:jc w:val="center"/>
            </w:pPr>
            <w:r>
              <w:t>--</w:t>
            </w:r>
          </w:p>
        </w:tc>
      </w:tr>
    </w:tbl>
    <w:p w14:paraId="3EDC5951" w14:textId="77777777" w:rsidR="005B6649" w:rsidRDefault="005B6649" w:rsidP="005B6649"/>
    <w:tbl>
      <w:tblPr>
        <w:tblStyle w:val="TableGrid"/>
        <w:tblW w:w="0" w:type="auto"/>
        <w:tblLook w:val="04A0" w:firstRow="1" w:lastRow="0" w:firstColumn="1" w:lastColumn="0" w:noHBand="0" w:noVBand="1"/>
        <w:tblCaption w:val="Table5"/>
        <w:tblDescription w:val="Percentages of population, valid population, and SSB survey respondents on race."/>
      </w:tblPr>
      <w:tblGrid>
        <w:gridCol w:w="3175"/>
        <w:gridCol w:w="1733"/>
        <w:gridCol w:w="1732"/>
        <w:gridCol w:w="2073"/>
      </w:tblGrid>
      <w:tr w:rsidR="005B6649" w:rsidRPr="00452466" w14:paraId="0A6CBF88" w14:textId="77777777" w:rsidTr="0BB0A80F">
        <w:trPr>
          <w:trHeight w:val="300"/>
        </w:trPr>
        <w:tc>
          <w:tcPr>
            <w:tcW w:w="0" w:type="auto"/>
          </w:tcPr>
          <w:p w14:paraId="265B4B39" w14:textId="77777777" w:rsidR="005B6649" w:rsidRPr="00452466" w:rsidRDefault="005B6649" w:rsidP="002C3A25">
            <w:pPr>
              <w:rPr>
                <w:b/>
                <w:bCs/>
              </w:rPr>
            </w:pPr>
            <w:r w:rsidRPr="0BB0A80F">
              <w:rPr>
                <w:b/>
                <w:bCs/>
              </w:rPr>
              <w:t>Race</w:t>
            </w:r>
          </w:p>
        </w:tc>
        <w:tc>
          <w:tcPr>
            <w:tcW w:w="0" w:type="auto"/>
          </w:tcPr>
          <w:p w14:paraId="17619889" w14:textId="77777777" w:rsidR="005B6649" w:rsidRPr="00452466" w:rsidRDefault="005B6649" w:rsidP="002C3A25">
            <w:pPr>
              <w:rPr>
                <w:b/>
                <w:bCs/>
              </w:rPr>
            </w:pPr>
            <w:r w:rsidRPr="0BB0A80F">
              <w:rPr>
                <w:b/>
                <w:bCs/>
              </w:rPr>
              <w:t>Total Population</w:t>
            </w:r>
          </w:p>
        </w:tc>
        <w:tc>
          <w:tcPr>
            <w:tcW w:w="0" w:type="auto"/>
          </w:tcPr>
          <w:p w14:paraId="1625768C" w14:textId="77777777" w:rsidR="005B6649" w:rsidRPr="00452466" w:rsidRDefault="005B6649" w:rsidP="002C3A25">
            <w:pPr>
              <w:rPr>
                <w:b/>
                <w:bCs/>
              </w:rPr>
            </w:pPr>
            <w:r w:rsidRPr="0BB0A80F">
              <w:rPr>
                <w:b/>
                <w:bCs/>
              </w:rPr>
              <w:t>Valid Population</w:t>
            </w:r>
          </w:p>
        </w:tc>
        <w:tc>
          <w:tcPr>
            <w:tcW w:w="0" w:type="auto"/>
          </w:tcPr>
          <w:p w14:paraId="364183DE" w14:textId="77777777" w:rsidR="005B6649" w:rsidRPr="00452466" w:rsidRDefault="005B6649" w:rsidP="002C3A25">
            <w:pPr>
              <w:rPr>
                <w:b/>
                <w:bCs/>
              </w:rPr>
            </w:pPr>
            <w:r w:rsidRPr="0BB0A80F">
              <w:rPr>
                <w:b/>
                <w:bCs/>
              </w:rPr>
              <w:t>Survey Respondents</w:t>
            </w:r>
          </w:p>
        </w:tc>
      </w:tr>
      <w:tr w:rsidR="005B6649" w:rsidRPr="00452466" w14:paraId="56C4CB30" w14:textId="77777777" w:rsidTr="0BB0A80F">
        <w:trPr>
          <w:trHeight w:val="300"/>
        </w:trPr>
        <w:tc>
          <w:tcPr>
            <w:tcW w:w="0" w:type="auto"/>
          </w:tcPr>
          <w:p w14:paraId="08FC7CC2" w14:textId="77777777" w:rsidR="005B6649" w:rsidRPr="00874C6A" w:rsidRDefault="005B6649" w:rsidP="002C3A25">
            <w:r>
              <w:t>American Indian or Alaska Native</w:t>
            </w:r>
          </w:p>
        </w:tc>
        <w:tc>
          <w:tcPr>
            <w:tcW w:w="0" w:type="auto"/>
          </w:tcPr>
          <w:p w14:paraId="594AC25E" w14:textId="77777777" w:rsidR="005B6649" w:rsidRPr="00874C6A" w:rsidRDefault="005B6649" w:rsidP="002C3A25">
            <w:pPr>
              <w:jc w:val="center"/>
            </w:pPr>
            <w:r>
              <w:t>1%</w:t>
            </w:r>
          </w:p>
        </w:tc>
        <w:tc>
          <w:tcPr>
            <w:tcW w:w="0" w:type="auto"/>
          </w:tcPr>
          <w:p w14:paraId="240F6A37" w14:textId="77777777" w:rsidR="005B6649" w:rsidRPr="00874C6A" w:rsidRDefault="005B6649" w:rsidP="002C3A25">
            <w:pPr>
              <w:jc w:val="center"/>
            </w:pPr>
            <w:r>
              <w:t>1%</w:t>
            </w:r>
          </w:p>
        </w:tc>
        <w:tc>
          <w:tcPr>
            <w:tcW w:w="0" w:type="auto"/>
          </w:tcPr>
          <w:p w14:paraId="7E6A8031" w14:textId="77777777" w:rsidR="005B6649" w:rsidRPr="00CB6896" w:rsidRDefault="005B6649" w:rsidP="002C3A25">
            <w:pPr>
              <w:jc w:val="center"/>
            </w:pPr>
            <w:r>
              <w:t>1%</w:t>
            </w:r>
          </w:p>
        </w:tc>
      </w:tr>
      <w:tr w:rsidR="005B6649" w:rsidRPr="00452466" w14:paraId="7597F8ED" w14:textId="77777777" w:rsidTr="0BB0A80F">
        <w:trPr>
          <w:trHeight w:val="300"/>
        </w:trPr>
        <w:tc>
          <w:tcPr>
            <w:tcW w:w="0" w:type="auto"/>
          </w:tcPr>
          <w:p w14:paraId="56B3E626" w14:textId="77777777" w:rsidR="005B6649" w:rsidRPr="00874C6A" w:rsidRDefault="005B6649" w:rsidP="002C3A25">
            <w:r>
              <w:t>Asian</w:t>
            </w:r>
          </w:p>
        </w:tc>
        <w:tc>
          <w:tcPr>
            <w:tcW w:w="0" w:type="auto"/>
          </w:tcPr>
          <w:p w14:paraId="4E91275B" w14:textId="77777777" w:rsidR="005B6649" w:rsidRPr="00874C6A" w:rsidRDefault="005B6649" w:rsidP="002C3A25">
            <w:pPr>
              <w:jc w:val="center"/>
            </w:pPr>
            <w:r>
              <w:t>5%</w:t>
            </w:r>
          </w:p>
        </w:tc>
        <w:tc>
          <w:tcPr>
            <w:tcW w:w="0" w:type="auto"/>
          </w:tcPr>
          <w:p w14:paraId="319FA8F3" w14:textId="77777777" w:rsidR="005B6649" w:rsidRPr="00874C6A" w:rsidRDefault="005B6649" w:rsidP="002C3A25">
            <w:pPr>
              <w:jc w:val="center"/>
            </w:pPr>
            <w:r>
              <w:t>5%</w:t>
            </w:r>
          </w:p>
        </w:tc>
        <w:tc>
          <w:tcPr>
            <w:tcW w:w="0" w:type="auto"/>
          </w:tcPr>
          <w:p w14:paraId="5521326A" w14:textId="77777777" w:rsidR="005B6649" w:rsidRPr="00CB6896" w:rsidRDefault="005B6649" w:rsidP="002C3A25">
            <w:pPr>
              <w:jc w:val="center"/>
            </w:pPr>
            <w:r>
              <w:t>6%</w:t>
            </w:r>
          </w:p>
        </w:tc>
      </w:tr>
      <w:tr w:rsidR="005B6649" w14:paraId="1B4D029B" w14:textId="77777777" w:rsidTr="0BB0A80F">
        <w:trPr>
          <w:trHeight w:val="300"/>
        </w:trPr>
        <w:tc>
          <w:tcPr>
            <w:tcW w:w="0" w:type="auto"/>
          </w:tcPr>
          <w:p w14:paraId="623595EE" w14:textId="77777777" w:rsidR="005B6649" w:rsidRDefault="005B6649" w:rsidP="002C3A25">
            <w:r>
              <w:t>Black or African American</w:t>
            </w:r>
          </w:p>
        </w:tc>
        <w:tc>
          <w:tcPr>
            <w:tcW w:w="0" w:type="auto"/>
          </w:tcPr>
          <w:p w14:paraId="3CC5B2CA" w14:textId="77777777" w:rsidR="005B6649" w:rsidRDefault="005B6649" w:rsidP="002C3A25">
            <w:pPr>
              <w:jc w:val="center"/>
            </w:pPr>
            <w:r>
              <w:t>20%</w:t>
            </w:r>
          </w:p>
        </w:tc>
        <w:tc>
          <w:tcPr>
            <w:tcW w:w="0" w:type="auto"/>
          </w:tcPr>
          <w:p w14:paraId="0768B55F" w14:textId="77777777" w:rsidR="005B6649" w:rsidRDefault="005B6649" w:rsidP="002C3A25">
            <w:pPr>
              <w:jc w:val="center"/>
            </w:pPr>
            <w:r>
              <w:t>19%</w:t>
            </w:r>
          </w:p>
        </w:tc>
        <w:tc>
          <w:tcPr>
            <w:tcW w:w="0" w:type="auto"/>
          </w:tcPr>
          <w:p w14:paraId="5702A3A6" w14:textId="77777777" w:rsidR="005B6649" w:rsidRPr="00CB6896" w:rsidRDefault="005B6649" w:rsidP="002C3A25">
            <w:pPr>
              <w:jc w:val="center"/>
            </w:pPr>
            <w:r>
              <w:t>12%</w:t>
            </w:r>
          </w:p>
        </w:tc>
      </w:tr>
      <w:tr w:rsidR="005B6649" w14:paraId="32741964" w14:textId="77777777" w:rsidTr="0BB0A80F">
        <w:trPr>
          <w:trHeight w:val="300"/>
        </w:trPr>
        <w:tc>
          <w:tcPr>
            <w:tcW w:w="0" w:type="auto"/>
          </w:tcPr>
          <w:p w14:paraId="7469ABFA" w14:textId="77777777" w:rsidR="005B6649" w:rsidRDefault="005B6649" w:rsidP="002C3A25">
            <w:r>
              <w:t>Hawaiian Native/Pacific Islander</w:t>
            </w:r>
          </w:p>
        </w:tc>
        <w:tc>
          <w:tcPr>
            <w:tcW w:w="0" w:type="auto"/>
          </w:tcPr>
          <w:p w14:paraId="14F79474" w14:textId="77777777" w:rsidR="005B6649" w:rsidRDefault="005B6649" w:rsidP="002C3A25">
            <w:pPr>
              <w:jc w:val="center"/>
            </w:pPr>
            <w:r>
              <w:t>--</w:t>
            </w:r>
          </w:p>
        </w:tc>
        <w:tc>
          <w:tcPr>
            <w:tcW w:w="0" w:type="auto"/>
          </w:tcPr>
          <w:p w14:paraId="7906D8B7" w14:textId="77777777" w:rsidR="005B6649" w:rsidRDefault="005B6649" w:rsidP="002C3A25">
            <w:pPr>
              <w:jc w:val="center"/>
            </w:pPr>
            <w:r>
              <w:t>--</w:t>
            </w:r>
          </w:p>
        </w:tc>
        <w:tc>
          <w:tcPr>
            <w:tcW w:w="0" w:type="auto"/>
          </w:tcPr>
          <w:p w14:paraId="16B4D5A0" w14:textId="77777777" w:rsidR="005B6649" w:rsidRPr="00CB6896" w:rsidRDefault="005B6649" w:rsidP="002C3A25">
            <w:pPr>
              <w:jc w:val="center"/>
            </w:pPr>
            <w:r>
              <w:t>--</w:t>
            </w:r>
          </w:p>
        </w:tc>
      </w:tr>
      <w:tr w:rsidR="005B6649" w14:paraId="0DB8341B" w14:textId="77777777" w:rsidTr="0BB0A80F">
        <w:trPr>
          <w:trHeight w:val="300"/>
        </w:trPr>
        <w:tc>
          <w:tcPr>
            <w:tcW w:w="0" w:type="auto"/>
          </w:tcPr>
          <w:p w14:paraId="2AFEE8FF" w14:textId="77777777" w:rsidR="005B6649" w:rsidRDefault="005B6649" w:rsidP="002C3A25">
            <w:r>
              <w:t>Two or more races</w:t>
            </w:r>
          </w:p>
        </w:tc>
        <w:tc>
          <w:tcPr>
            <w:tcW w:w="0" w:type="auto"/>
          </w:tcPr>
          <w:p w14:paraId="103D460C" w14:textId="77777777" w:rsidR="005B6649" w:rsidRDefault="005B6649" w:rsidP="002C3A25">
            <w:pPr>
              <w:jc w:val="center"/>
            </w:pPr>
            <w:r>
              <w:t>1%</w:t>
            </w:r>
          </w:p>
        </w:tc>
        <w:tc>
          <w:tcPr>
            <w:tcW w:w="0" w:type="auto"/>
          </w:tcPr>
          <w:p w14:paraId="19B4F1CF" w14:textId="77777777" w:rsidR="005B6649" w:rsidRDefault="005B6649" w:rsidP="002C3A25">
            <w:pPr>
              <w:jc w:val="center"/>
            </w:pPr>
            <w:r>
              <w:t>1%</w:t>
            </w:r>
          </w:p>
        </w:tc>
        <w:tc>
          <w:tcPr>
            <w:tcW w:w="0" w:type="auto"/>
          </w:tcPr>
          <w:p w14:paraId="4DAD558F" w14:textId="77777777" w:rsidR="005B6649" w:rsidRPr="00CB6896" w:rsidRDefault="005B6649" w:rsidP="002C3A25">
            <w:pPr>
              <w:jc w:val="center"/>
            </w:pPr>
            <w:r>
              <w:t>1%</w:t>
            </w:r>
          </w:p>
        </w:tc>
      </w:tr>
      <w:tr w:rsidR="005B6649" w14:paraId="066E66C3" w14:textId="77777777" w:rsidTr="0BB0A80F">
        <w:trPr>
          <w:trHeight w:val="300"/>
        </w:trPr>
        <w:tc>
          <w:tcPr>
            <w:tcW w:w="0" w:type="auto"/>
          </w:tcPr>
          <w:p w14:paraId="6EB3AB86" w14:textId="77777777" w:rsidR="005B6649" w:rsidRDefault="005B6649" w:rsidP="002C3A25">
            <w:r>
              <w:t>White</w:t>
            </w:r>
          </w:p>
        </w:tc>
        <w:tc>
          <w:tcPr>
            <w:tcW w:w="0" w:type="auto"/>
          </w:tcPr>
          <w:p w14:paraId="7DC82AF6" w14:textId="77777777" w:rsidR="005B6649" w:rsidRDefault="005B6649" w:rsidP="002C3A25">
            <w:pPr>
              <w:jc w:val="center"/>
            </w:pPr>
            <w:r>
              <w:t>71%</w:t>
            </w:r>
          </w:p>
        </w:tc>
        <w:tc>
          <w:tcPr>
            <w:tcW w:w="0" w:type="auto"/>
          </w:tcPr>
          <w:p w14:paraId="0325262B" w14:textId="77777777" w:rsidR="005B6649" w:rsidRDefault="005B6649" w:rsidP="002C3A25">
            <w:pPr>
              <w:jc w:val="center"/>
            </w:pPr>
            <w:r>
              <w:t>71%</w:t>
            </w:r>
          </w:p>
        </w:tc>
        <w:tc>
          <w:tcPr>
            <w:tcW w:w="0" w:type="auto"/>
          </w:tcPr>
          <w:p w14:paraId="4335EA68" w14:textId="77777777" w:rsidR="005B6649" w:rsidRPr="00CB6896" w:rsidRDefault="005B6649" w:rsidP="002C3A25">
            <w:pPr>
              <w:jc w:val="center"/>
            </w:pPr>
            <w:r>
              <w:t>77%</w:t>
            </w:r>
          </w:p>
        </w:tc>
      </w:tr>
      <w:tr w:rsidR="005B6649" w14:paraId="77144A0C" w14:textId="77777777" w:rsidTr="0BB0A80F">
        <w:trPr>
          <w:trHeight w:val="300"/>
        </w:trPr>
        <w:tc>
          <w:tcPr>
            <w:tcW w:w="0" w:type="auto"/>
          </w:tcPr>
          <w:p w14:paraId="5468FC30" w14:textId="77777777" w:rsidR="005B6649" w:rsidRDefault="005B6649" w:rsidP="002C3A25">
            <w:r>
              <w:t>Did not self-identify</w:t>
            </w:r>
          </w:p>
        </w:tc>
        <w:tc>
          <w:tcPr>
            <w:tcW w:w="0" w:type="auto"/>
          </w:tcPr>
          <w:p w14:paraId="5A9FA3DD" w14:textId="77777777" w:rsidR="005B6649" w:rsidRDefault="005B6649" w:rsidP="002C3A25">
            <w:pPr>
              <w:jc w:val="center"/>
            </w:pPr>
            <w:r>
              <w:t>2%</w:t>
            </w:r>
          </w:p>
        </w:tc>
        <w:tc>
          <w:tcPr>
            <w:tcW w:w="0" w:type="auto"/>
          </w:tcPr>
          <w:p w14:paraId="395E3ABD" w14:textId="77777777" w:rsidR="005B6649" w:rsidRDefault="005B6649" w:rsidP="002C3A25">
            <w:pPr>
              <w:jc w:val="center"/>
            </w:pPr>
            <w:r>
              <w:t>2%</w:t>
            </w:r>
          </w:p>
        </w:tc>
        <w:tc>
          <w:tcPr>
            <w:tcW w:w="0" w:type="auto"/>
          </w:tcPr>
          <w:p w14:paraId="6F003C40" w14:textId="77777777" w:rsidR="005B6649" w:rsidRPr="00CB6896" w:rsidRDefault="005B6649" w:rsidP="002C3A25">
            <w:pPr>
              <w:jc w:val="center"/>
            </w:pPr>
            <w:r>
              <w:t>2%</w:t>
            </w:r>
          </w:p>
        </w:tc>
      </w:tr>
      <w:tr w:rsidR="005B6649" w14:paraId="44FEEE51" w14:textId="77777777" w:rsidTr="0BB0A80F">
        <w:trPr>
          <w:trHeight w:val="300"/>
        </w:trPr>
        <w:tc>
          <w:tcPr>
            <w:tcW w:w="0" w:type="auto"/>
          </w:tcPr>
          <w:p w14:paraId="6069B6A7" w14:textId="77777777" w:rsidR="005B6649" w:rsidRDefault="005B6649" w:rsidP="002C3A25">
            <w:r>
              <w:t>(Blank)</w:t>
            </w:r>
          </w:p>
        </w:tc>
        <w:tc>
          <w:tcPr>
            <w:tcW w:w="0" w:type="auto"/>
          </w:tcPr>
          <w:p w14:paraId="52910E17" w14:textId="77777777" w:rsidR="005B6649" w:rsidRDefault="005B6649" w:rsidP="002C3A25">
            <w:pPr>
              <w:jc w:val="center"/>
            </w:pPr>
            <w:r>
              <w:t>&lt;1%</w:t>
            </w:r>
          </w:p>
        </w:tc>
        <w:tc>
          <w:tcPr>
            <w:tcW w:w="0" w:type="auto"/>
          </w:tcPr>
          <w:p w14:paraId="21D67800" w14:textId="77777777" w:rsidR="005B6649" w:rsidRDefault="005B6649" w:rsidP="002C3A25">
            <w:pPr>
              <w:jc w:val="center"/>
            </w:pPr>
            <w:r>
              <w:t>&lt;1%</w:t>
            </w:r>
          </w:p>
        </w:tc>
        <w:tc>
          <w:tcPr>
            <w:tcW w:w="0" w:type="auto"/>
          </w:tcPr>
          <w:p w14:paraId="3BC66434" w14:textId="77777777" w:rsidR="005B6649" w:rsidRPr="00CB6896" w:rsidRDefault="005B6649" w:rsidP="002C3A25">
            <w:pPr>
              <w:jc w:val="center"/>
            </w:pPr>
            <w:r>
              <w:t>1%</w:t>
            </w:r>
          </w:p>
        </w:tc>
      </w:tr>
    </w:tbl>
    <w:p w14:paraId="03096196" w14:textId="77777777" w:rsidR="005B6649" w:rsidRDefault="005B6649" w:rsidP="005B6649"/>
    <w:tbl>
      <w:tblPr>
        <w:tblStyle w:val="TableGrid"/>
        <w:tblW w:w="7804" w:type="dxa"/>
        <w:tblLook w:val="04A0" w:firstRow="1" w:lastRow="0" w:firstColumn="1" w:lastColumn="0" w:noHBand="0" w:noVBand="1"/>
        <w:tblCaption w:val="Table6"/>
        <w:tblDescription w:val="Percentages of population, valid population, and SSB survey respondents on BIPOC status."/>
      </w:tblPr>
      <w:tblGrid>
        <w:gridCol w:w="1275"/>
        <w:gridCol w:w="1485"/>
        <w:gridCol w:w="1815"/>
        <w:gridCol w:w="1804"/>
        <w:gridCol w:w="1425"/>
      </w:tblGrid>
      <w:tr w:rsidR="005B6649" w:rsidRPr="00452466" w14:paraId="3523536D" w14:textId="77777777" w:rsidTr="4A9EE9EE">
        <w:trPr>
          <w:trHeight w:val="300"/>
        </w:trPr>
        <w:tc>
          <w:tcPr>
            <w:tcW w:w="1275" w:type="dxa"/>
          </w:tcPr>
          <w:p w14:paraId="19F167E6" w14:textId="77777777" w:rsidR="005B6649" w:rsidRPr="00452466" w:rsidRDefault="005B6649" w:rsidP="002C3A25">
            <w:pPr>
              <w:rPr>
                <w:b/>
                <w:bCs/>
              </w:rPr>
            </w:pPr>
            <w:r w:rsidRPr="0BB0A80F">
              <w:rPr>
                <w:b/>
                <w:bCs/>
              </w:rPr>
              <w:t xml:space="preserve">BIPOC </w:t>
            </w:r>
          </w:p>
        </w:tc>
        <w:tc>
          <w:tcPr>
            <w:tcW w:w="1485" w:type="dxa"/>
          </w:tcPr>
          <w:p w14:paraId="5D2BA312" w14:textId="77777777" w:rsidR="005B6649" w:rsidRPr="00452466" w:rsidRDefault="005B6649" w:rsidP="002C3A25">
            <w:pPr>
              <w:rPr>
                <w:b/>
                <w:bCs/>
              </w:rPr>
            </w:pPr>
            <w:r w:rsidRPr="0BB0A80F">
              <w:rPr>
                <w:b/>
                <w:bCs/>
              </w:rPr>
              <w:t>Total Population</w:t>
            </w:r>
          </w:p>
        </w:tc>
        <w:tc>
          <w:tcPr>
            <w:tcW w:w="1815" w:type="dxa"/>
          </w:tcPr>
          <w:p w14:paraId="6E1BC313" w14:textId="77777777" w:rsidR="005B6649" w:rsidRPr="00452466" w:rsidRDefault="005B6649" w:rsidP="002C3A25">
            <w:pPr>
              <w:rPr>
                <w:b/>
                <w:bCs/>
              </w:rPr>
            </w:pPr>
            <w:r w:rsidRPr="0BB0A80F">
              <w:rPr>
                <w:b/>
                <w:bCs/>
              </w:rPr>
              <w:t>Valid Population</w:t>
            </w:r>
          </w:p>
        </w:tc>
        <w:tc>
          <w:tcPr>
            <w:tcW w:w="1804" w:type="dxa"/>
          </w:tcPr>
          <w:p w14:paraId="3A17B26E" w14:textId="77777777" w:rsidR="005B6649" w:rsidRPr="00452466" w:rsidRDefault="005B6649" w:rsidP="002C3A25">
            <w:pPr>
              <w:rPr>
                <w:b/>
                <w:bCs/>
              </w:rPr>
            </w:pPr>
            <w:r w:rsidRPr="0BB0A80F">
              <w:rPr>
                <w:b/>
                <w:bCs/>
              </w:rPr>
              <w:t>Survey Respondents</w:t>
            </w:r>
          </w:p>
        </w:tc>
        <w:tc>
          <w:tcPr>
            <w:tcW w:w="1425" w:type="dxa"/>
          </w:tcPr>
          <w:p w14:paraId="3A24E99F" w14:textId="77777777" w:rsidR="005B6649" w:rsidRPr="00452466" w:rsidRDefault="005B6649" w:rsidP="002C3A25">
            <w:pPr>
              <w:rPr>
                <w:b/>
                <w:bCs/>
              </w:rPr>
            </w:pPr>
            <w:proofErr w:type="spellStart"/>
            <w:r w:rsidRPr="0BB0A80F">
              <w:rPr>
                <w:b/>
                <w:bCs/>
              </w:rPr>
              <w:t>MnCSI</w:t>
            </w:r>
            <w:proofErr w:type="spellEnd"/>
          </w:p>
        </w:tc>
      </w:tr>
      <w:tr w:rsidR="005B6649" w:rsidRPr="00452466" w14:paraId="7EBBF347" w14:textId="77777777" w:rsidTr="4A9EE9EE">
        <w:trPr>
          <w:trHeight w:val="300"/>
        </w:trPr>
        <w:tc>
          <w:tcPr>
            <w:tcW w:w="1275" w:type="dxa"/>
          </w:tcPr>
          <w:p w14:paraId="27444E32" w14:textId="77777777" w:rsidR="005B6649" w:rsidRPr="00874C6A" w:rsidRDefault="005B6649" w:rsidP="002C3A25">
            <w:r>
              <w:t>Yes</w:t>
            </w:r>
          </w:p>
        </w:tc>
        <w:tc>
          <w:tcPr>
            <w:tcW w:w="1485" w:type="dxa"/>
          </w:tcPr>
          <w:p w14:paraId="0278A697" w14:textId="77777777" w:rsidR="005B6649" w:rsidRPr="00874C6A" w:rsidRDefault="005B6649" w:rsidP="002C3A25">
            <w:pPr>
              <w:jc w:val="center"/>
            </w:pPr>
            <w:r>
              <w:t>33%</w:t>
            </w:r>
          </w:p>
        </w:tc>
        <w:tc>
          <w:tcPr>
            <w:tcW w:w="1815" w:type="dxa"/>
          </w:tcPr>
          <w:p w14:paraId="699B9AD6" w14:textId="77777777" w:rsidR="005B6649" w:rsidRPr="00874C6A" w:rsidRDefault="005B6649" w:rsidP="002C3A25">
            <w:pPr>
              <w:jc w:val="center"/>
            </w:pPr>
            <w:r>
              <w:t>33%</w:t>
            </w:r>
          </w:p>
        </w:tc>
        <w:tc>
          <w:tcPr>
            <w:tcW w:w="1804" w:type="dxa"/>
          </w:tcPr>
          <w:p w14:paraId="118FF57D" w14:textId="77777777" w:rsidR="005B6649" w:rsidRPr="00874C6A" w:rsidRDefault="005B6649" w:rsidP="002C3A25">
            <w:pPr>
              <w:jc w:val="center"/>
            </w:pPr>
            <w:r>
              <w:t>25%</w:t>
            </w:r>
          </w:p>
        </w:tc>
        <w:tc>
          <w:tcPr>
            <w:tcW w:w="1425" w:type="dxa"/>
          </w:tcPr>
          <w:p w14:paraId="5AC97C8C" w14:textId="77777777" w:rsidR="005B6649" w:rsidRDefault="005B6649" w:rsidP="002C3A25">
            <w:pPr>
              <w:jc w:val="center"/>
            </w:pPr>
            <w:r>
              <w:t>82.7 (37)</w:t>
            </w:r>
          </w:p>
        </w:tc>
      </w:tr>
      <w:tr w:rsidR="005B6649" w:rsidRPr="00452466" w14:paraId="5D183EC5" w14:textId="77777777" w:rsidTr="4A9EE9EE">
        <w:trPr>
          <w:trHeight w:val="300"/>
        </w:trPr>
        <w:tc>
          <w:tcPr>
            <w:tcW w:w="1275" w:type="dxa"/>
          </w:tcPr>
          <w:p w14:paraId="0B70E4A1" w14:textId="77777777" w:rsidR="005B6649" w:rsidRPr="00874C6A" w:rsidRDefault="005B6649" w:rsidP="002C3A25">
            <w:r>
              <w:t>No</w:t>
            </w:r>
          </w:p>
        </w:tc>
        <w:tc>
          <w:tcPr>
            <w:tcW w:w="1485" w:type="dxa"/>
          </w:tcPr>
          <w:p w14:paraId="04FFB574" w14:textId="77777777" w:rsidR="005B6649" w:rsidRPr="00874C6A" w:rsidRDefault="005B6649" w:rsidP="002C3A25">
            <w:pPr>
              <w:jc w:val="center"/>
            </w:pPr>
            <w:r>
              <w:t>65%</w:t>
            </w:r>
          </w:p>
        </w:tc>
        <w:tc>
          <w:tcPr>
            <w:tcW w:w="1815" w:type="dxa"/>
          </w:tcPr>
          <w:p w14:paraId="60E0E91F" w14:textId="77777777" w:rsidR="005B6649" w:rsidRPr="00874C6A" w:rsidRDefault="005B6649" w:rsidP="002C3A25">
            <w:pPr>
              <w:jc w:val="center"/>
            </w:pPr>
            <w:r>
              <w:t>67%</w:t>
            </w:r>
          </w:p>
        </w:tc>
        <w:tc>
          <w:tcPr>
            <w:tcW w:w="1804" w:type="dxa"/>
          </w:tcPr>
          <w:p w14:paraId="2F5C3D21" w14:textId="77777777" w:rsidR="005B6649" w:rsidRPr="00874C6A" w:rsidRDefault="005B6649" w:rsidP="002C3A25">
            <w:pPr>
              <w:jc w:val="center"/>
            </w:pPr>
            <w:r>
              <w:t>75%</w:t>
            </w:r>
          </w:p>
        </w:tc>
        <w:tc>
          <w:tcPr>
            <w:tcW w:w="1425" w:type="dxa"/>
          </w:tcPr>
          <w:p w14:paraId="00A1DFED" w14:textId="77777777" w:rsidR="005B6649" w:rsidRDefault="005B6649" w:rsidP="002C3A25">
            <w:pPr>
              <w:jc w:val="center"/>
            </w:pPr>
            <w:r>
              <w:t>76.8 (117)</w:t>
            </w:r>
          </w:p>
        </w:tc>
      </w:tr>
      <w:tr w:rsidR="005B6649" w14:paraId="6B4748DF" w14:textId="77777777" w:rsidTr="4A9EE9EE">
        <w:trPr>
          <w:trHeight w:val="300"/>
        </w:trPr>
        <w:tc>
          <w:tcPr>
            <w:tcW w:w="1275" w:type="dxa"/>
          </w:tcPr>
          <w:p w14:paraId="062CE3D6" w14:textId="77777777" w:rsidR="005B6649" w:rsidRDefault="005B6649" w:rsidP="002C3A25">
            <w:r>
              <w:t>(Blank)</w:t>
            </w:r>
          </w:p>
        </w:tc>
        <w:tc>
          <w:tcPr>
            <w:tcW w:w="1485" w:type="dxa"/>
          </w:tcPr>
          <w:p w14:paraId="032D46A3" w14:textId="77777777" w:rsidR="005B6649" w:rsidRDefault="005B6649" w:rsidP="002C3A25">
            <w:pPr>
              <w:jc w:val="center"/>
            </w:pPr>
            <w:r>
              <w:t>2%</w:t>
            </w:r>
          </w:p>
        </w:tc>
        <w:tc>
          <w:tcPr>
            <w:tcW w:w="1815" w:type="dxa"/>
          </w:tcPr>
          <w:p w14:paraId="7AFB9009" w14:textId="77777777" w:rsidR="005B6649" w:rsidRDefault="005B6649" w:rsidP="002C3A25">
            <w:pPr>
              <w:jc w:val="center"/>
            </w:pPr>
            <w:r>
              <w:t>--</w:t>
            </w:r>
          </w:p>
        </w:tc>
        <w:tc>
          <w:tcPr>
            <w:tcW w:w="1804" w:type="dxa"/>
          </w:tcPr>
          <w:p w14:paraId="1FD1ABA6" w14:textId="77777777" w:rsidR="005B6649" w:rsidRDefault="005B6649" w:rsidP="002C3A25">
            <w:pPr>
              <w:jc w:val="center"/>
            </w:pPr>
            <w:r>
              <w:t>--</w:t>
            </w:r>
          </w:p>
        </w:tc>
        <w:tc>
          <w:tcPr>
            <w:tcW w:w="1425" w:type="dxa"/>
          </w:tcPr>
          <w:p w14:paraId="49B2CBF5" w14:textId="77777777" w:rsidR="005B6649" w:rsidRDefault="005B6649" w:rsidP="002C3A25">
            <w:pPr>
              <w:jc w:val="center"/>
            </w:pPr>
            <w:r>
              <w:t>--</w:t>
            </w:r>
          </w:p>
        </w:tc>
      </w:tr>
    </w:tbl>
    <w:p w14:paraId="28C38F2B" w14:textId="77777777" w:rsidR="005B6649" w:rsidRDefault="005B6649" w:rsidP="005B6649"/>
    <w:tbl>
      <w:tblPr>
        <w:tblStyle w:val="TableGrid"/>
        <w:tblW w:w="0" w:type="auto"/>
        <w:tblLook w:val="04A0" w:firstRow="1" w:lastRow="0" w:firstColumn="1" w:lastColumn="0" w:noHBand="0" w:noVBand="1"/>
        <w:tblCaption w:val="Table7"/>
        <w:tblDescription w:val="Percentages of population, valid population, and SSB survey respondents on their primary impairment."/>
      </w:tblPr>
      <w:tblGrid>
        <w:gridCol w:w="2066"/>
        <w:gridCol w:w="1733"/>
        <w:gridCol w:w="1732"/>
        <w:gridCol w:w="2073"/>
        <w:gridCol w:w="1124"/>
      </w:tblGrid>
      <w:tr w:rsidR="005B6649" w:rsidRPr="00452466" w14:paraId="3021D32F" w14:textId="77777777" w:rsidTr="0BB0A80F">
        <w:trPr>
          <w:trHeight w:val="300"/>
        </w:trPr>
        <w:tc>
          <w:tcPr>
            <w:tcW w:w="0" w:type="auto"/>
          </w:tcPr>
          <w:p w14:paraId="71583DB5" w14:textId="77777777" w:rsidR="005B6649" w:rsidRPr="00452466" w:rsidRDefault="005B6649" w:rsidP="002C3A25">
            <w:pPr>
              <w:rPr>
                <w:b/>
                <w:bCs/>
              </w:rPr>
            </w:pPr>
            <w:r w:rsidRPr="0BB0A80F">
              <w:rPr>
                <w:b/>
                <w:bCs/>
              </w:rPr>
              <w:t>Primary Impairment</w:t>
            </w:r>
          </w:p>
        </w:tc>
        <w:tc>
          <w:tcPr>
            <w:tcW w:w="0" w:type="auto"/>
          </w:tcPr>
          <w:p w14:paraId="614447D5" w14:textId="77777777" w:rsidR="005B6649" w:rsidRPr="00452466" w:rsidRDefault="005B6649" w:rsidP="002C3A25">
            <w:pPr>
              <w:rPr>
                <w:b/>
                <w:bCs/>
              </w:rPr>
            </w:pPr>
            <w:r w:rsidRPr="0BB0A80F">
              <w:rPr>
                <w:b/>
                <w:bCs/>
              </w:rPr>
              <w:t>Total Population</w:t>
            </w:r>
          </w:p>
        </w:tc>
        <w:tc>
          <w:tcPr>
            <w:tcW w:w="0" w:type="auto"/>
          </w:tcPr>
          <w:p w14:paraId="1384929E" w14:textId="77777777" w:rsidR="005B6649" w:rsidRPr="00452466" w:rsidRDefault="005B6649" w:rsidP="002C3A25">
            <w:pPr>
              <w:rPr>
                <w:b/>
                <w:bCs/>
              </w:rPr>
            </w:pPr>
            <w:r w:rsidRPr="0BB0A80F">
              <w:rPr>
                <w:b/>
                <w:bCs/>
              </w:rPr>
              <w:t>Valid Population</w:t>
            </w:r>
          </w:p>
        </w:tc>
        <w:tc>
          <w:tcPr>
            <w:tcW w:w="0" w:type="auto"/>
          </w:tcPr>
          <w:p w14:paraId="5FF981E0" w14:textId="77777777" w:rsidR="005B6649" w:rsidRPr="00452466" w:rsidRDefault="005B6649" w:rsidP="002C3A25">
            <w:pPr>
              <w:rPr>
                <w:b/>
                <w:bCs/>
              </w:rPr>
            </w:pPr>
            <w:r w:rsidRPr="0BB0A80F">
              <w:rPr>
                <w:b/>
                <w:bCs/>
              </w:rPr>
              <w:t>Survey Respondents</w:t>
            </w:r>
          </w:p>
        </w:tc>
        <w:tc>
          <w:tcPr>
            <w:tcW w:w="0" w:type="auto"/>
          </w:tcPr>
          <w:p w14:paraId="01F85D59" w14:textId="77777777" w:rsidR="005B6649" w:rsidRPr="00452466" w:rsidRDefault="005B6649" w:rsidP="002C3A25">
            <w:pPr>
              <w:rPr>
                <w:b/>
                <w:bCs/>
              </w:rPr>
            </w:pPr>
            <w:proofErr w:type="spellStart"/>
            <w:r w:rsidRPr="0BB0A80F">
              <w:rPr>
                <w:b/>
                <w:bCs/>
              </w:rPr>
              <w:t>MnCSI</w:t>
            </w:r>
            <w:proofErr w:type="spellEnd"/>
          </w:p>
        </w:tc>
      </w:tr>
      <w:tr w:rsidR="005B6649" w:rsidRPr="00452466" w14:paraId="2E3DD584" w14:textId="77777777" w:rsidTr="0BB0A80F">
        <w:trPr>
          <w:trHeight w:val="300"/>
        </w:trPr>
        <w:tc>
          <w:tcPr>
            <w:tcW w:w="0" w:type="auto"/>
          </w:tcPr>
          <w:p w14:paraId="1CAF803B" w14:textId="77777777" w:rsidR="005B6649" w:rsidRPr="00874C6A" w:rsidRDefault="005B6649" w:rsidP="002C3A25">
            <w:r>
              <w:t>Blindness</w:t>
            </w:r>
          </w:p>
        </w:tc>
        <w:tc>
          <w:tcPr>
            <w:tcW w:w="0" w:type="auto"/>
          </w:tcPr>
          <w:p w14:paraId="13D70CDC" w14:textId="77777777" w:rsidR="005B6649" w:rsidRPr="00874C6A" w:rsidRDefault="005B6649" w:rsidP="002C3A25">
            <w:pPr>
              <w:jc w:val="center"/>
            </w:pPr>
            <w:r>
              <w:t>76%</w:t>
            </w:r>
          </w:p>
        </w:tc>
        <w:tc>
          <w:tcPr>
            <w:tcW w:w="0" w:type="auto"/>
          </w:tcPr>
          <w:p w14:paraId="3C151AF4" w14:textId="77777777" w:rsidR="005B6649" w:rsidRPr="00874C6A" w:rsidRDefault="005B6649" w:rsidP="002C3A25">
            <w:pPr>
              <w:jc w:val="center"/>
            </w:pPr>
            <w:r>
              <w:t>76%</w:t>
            </w:r>
          </w:p>
        </w:tc>
        <w:tc>
          <w:tcPr>
            <w:tcW w:w="0" w:type="auto"/>
          </w:tcPr>
          <w:p w14:paraId="10B7E3FA" w14:textId="77777777" w:rsidR="005B6649" w:rsidRPr="00874C6A" w:rsidRDefault="005B6649" w:rsidP="002C3A25">
            <w:pPr>
              <w:jc w:val="center"/>
            </w:pPr>
            <w:r>
              <w:t>73%</w:t>
            </w:r>
          </w:p>
        </w:tc>
        <w:tc>
          <w:tcPr>
            <w:tcW w:w="0" w:type="auto"/>
          </w:tcPr>
          <w:p w14:paraId="79B19F6B" w14:textId="77777777" w:rsidR="005B6649" w:rsidRDefault="005B6649" w:rsidP="002C3A25">
            <w:pPr>
              <w:jc w:val="center"/>
            </w:pPr>
            <w:r>
              <w:t>79.5 (110)</w:t>
            </w:r>
          </w:p>
        </w:tc>
      </w:tr>
      <w:tr w:rsidR="005B6649" w:rsidRPr="00452466" w14:paraId="6C273C77" w14:textId="77777777" w:rsidTr="0BB0A80F">
        <w:trPr>
          <w:trHeight w:val="300"/>
        </w:trPr>
        <w:tc>
          <w:tcPr>
            <w:tcW w:w="0" w:type="auto"/>
          </w:tcPr>
          <w:p w14:paraId="1534F65B" w14:textId="77777777" w:rsidR="005B6649" w:rsidRPr="00874C6A" w:rsidRDefault="005B6649" w:rsidP="002C3A25">
            <w:r>
              <w:t>Deaf-Blindness</w:t>
            </w:r>
          </w:p>
        </w:tc>
        <w:tc>
          <w:tcPr>
            <w:tcW w:w="0" w:type="auto"/>
          </w:tcPr>
          <w:p w14:paraId="2BDBCCE3" w14:textId="77777777" w:rsidR="005B6649" w:rsidRPr="00874C6A" w:rsidRDefault="005B6649" w:rsidP="002C3A25">
            <w:pPr>
              <w:jc w:val="center"/>
            </w:pPr>
            <w:r>
              <w:t>7%</w:t>
            </w:r>
          </w:p>
        </w:tc>
        <w:tc>
          <w:tcPr>
            <w:tcW w:w="0" w:type="auto"/>
          </w:tcPr>
          <w:p w14:paraId="2A4FF36A" w14:textId="77777777" w:rsidR="005B6649" w:rsidRPr="00874C6A" w:rsidRDefault="005B6649" w:rsidP="002C3A25">
            <w:pPr>
              <w:jc w:val="center"/>
            </w:pPr>
            <w:r>
              <w:t>7%</w:t>
            </w:r>
          </w:p>
        </w:tc>
        <w:tc>
          <w:tcPr>
            <w:tcW w:w="0" w:type="auto"/>
          </w:tcPr>
          <w:p w14:paraId="5839DFE8" w14:textId="77777777" w:rsidR="005B6649" w:rsidRPr="00874C6A" w:rsidRDefault="005B6649" w:rsidP="002C3A25">
            <w:pPr>
              <w:jc w:val="center"/>
            </w:pPr>
            <w:r>
              <w:t>9%</w:t>
            </w:r>
          </w:p>
        </w:tc>
        <w:tc>
          <w:tcPr>
            <w:tcW w:w="0" w:type="auto"/>
          </w:tcPr>
          <w:p w14:paraId="3F4F9C2D" w14:textId="77777777" w:rsidR="005B6649" w:rsidRDefault="005B6649" w:rsidP="002C3A25">
            <w:pPr>
              <w:jc w:val="center"/>
            </w:pPr>
            <w:r>
              <w:t>81.4 (12)</w:t>
            </w:r>
          </w:p>
        </w:tc>
      </w:tr>
      <w:tr w:rsidR="005B6649" w14:paraId="51473864" w14:textId="77777777" w:rsidTr="0BB0A80F">
        <w:trPr>
          <w:trHeight w:val="300"/>
        </w:trPr>
        <w:tc>
          <w:tcPr>
            <w:tcW w:w="0" w:type="auto"/>
          </w:tcPr>
          <w:p w14:paraId="3847A46E" w14:textId="77777777" w:rsidR="005B6649" w:rsidRDefault="005B6649" w:rsidP="002C3A25">
            <w:r>
              <w:t xml:space="preserve">Other visual </w:t>
            </w:r>
          </w:p>
        </w:tc>
        <w:tc>
          <w:tcPr>
            <w:tcW w:w="0" w:type="auto"/>
          </w:tcPr>
          <w:p w14:paraId="2F7BEBE6" w14:textId="77777777" w:rsidR="005B6649" w:rsidRDefault="005B6649" w:rsidP="002C3A25">
            <w:pPr>
              <w:jc w:val="center"/>
            </w:pPr>
            <w:r>
              <w:t>17%</w:t>
            </w:r>
          </w:p>
        </w:tc>
        <w:tc>
          <w:tcPr>
            <w:tcW w:w="0" w:type="auto"/>
          </w:tcPr>
          <w:p w14:paraId="4015AB86" w14:textId="77777777" w:rsidR="005B6649" w:rsidRDefault="005B6649" w:rsidP="002C3A25">
            <w:pPr>
              <w:jc w:val="center"/>
            </w:pPr>
            <w:r>
              <w:t>17%</w:t>
            </w:r>
          </w:p>
        </w:tc>
        <w:tc>
          <w:tcPr>
            <w:tcW w:w="0" w:type="auto"/>
          </w:tcPr>
          <w:p w14:paraId="1A620CC6" w14:textId="77777777" w:rsidR="005B6649" w:rsidRDefault="005B6649" w:rsidP="002C3A25">
            <w:pPr>
              <w:jc w:val="center"/>
            </w:pPr>
            <w:r>
              <w:t>18%</w:t>
            </w:r>
          </w:p>
        </w:tc>
        <w:tc>
          <w:tcPr>
            <w:tcW w:w="0" w:type="auto"/>
          </w:tcPr>
          <w:p w14:paraId="3E90BA48" w14:textId="77777777" w:rsidR="005B6649" w:rsidRDefault="005B6649" w:rsidP="002C3A25">
            <w:pPr>
              <w:jc w:val="center"/>
            </w:pPr>
            <w:r>
              <w:t>72.6 (31)</w:t>
            </w:r>
          </w:p>
        </w:tc>
      </w:tr>
      <w:tr w:rsidR="005B6649" w14:paraId="1BBC62F7" w14:textId="77777777" w:rsidTr="0BB0A80F">
        <w:trPr>
          <w:trHeight w:val="300"/>
        </w:trPr>
        <w:tc>
          <w:tcPr>
            <w:tcW w:w="0" w:type="auto"/>
          </w:tcPr>
          <w:p w14:paraId="344B452C" w14:textId="77777777" w:rsidR="005B6649" w:rsidRDefault="005B6649" w:rsidP="002C3A25">
            <w:r>
              <w:t>Other physical</w:t>
            </w:r>
          </w:p>
        </w:tc>
        <w:tc>
          <w:tcPr>
            <w:tcW w:w="0" w:type="auto"/>
          </w:tcPr>
          <w:p w14:paraId="46A97197" w14:textId="77777777" w:rsidR="005B6649" w:rsidRDefault="005B6649" w:rsidP="002C3A25">
            <w:pPr>
              <w:jc w:val="center"/>
            </w:pPr>
            <w:r>
              <w:t>--</w:t>
            </w:r>
          </w:p>
        </w:tc>
        <w:tc>
          <w:tcPr>
            <w:tcW w:w="0" w:type="auto"/>
          </w:tcPr>
          <w:p w14:paraId="6D778811" w14:textId="77777777" w:rsidR="005B6649" w:rsidRDefault="005B6649" w:rsidP="002C3A25">
            <w:pPr>
              <w:jc w:val="center"/>
            </w:pPr>
            <w:r>
              <w:t>--</w:t>
            </w:r>
          </w:p>
        </w:tc>
        <w:tc>
          <w:tcPr>
            <w:tcW w:w="0" w:type="auto"/>
          </w:tcPr>
          <w:p w14:paraId="1DABE8B1" w14:textId="77777777" w:rsidR="005B6649" w:rsidRDefault="005B6649" w:rsidP="002C3A25">
            <w:pPr>
              <w:jc w:val="center"/>
            </w:pPr>
            <w:r>
              <w:t>--</w:t>
            </w:r>
          </w:p>
        </w:tc>
        <w:tc>
          <w:tcPr>
            <w:tcW w:w="0" w:type="auto"/>
          </w:tcPr>
          <w:p w14:paraId="670A9328" w14:textId="77777777" w:rsidR="005B6649" w:rsidRDefault="005B6649" w:rsidP="002C3A25">
            <w:pPr>
              <w:jc w:val="center"/>
            </w:pPr>
            <w:r>
              <w:t>--</w:t>
            </w:r>
          </w:p>
        </w:tc>
      </w:tr>
      <w:tr w:rsidR="005B6649" w14:paraId="548DF1E4" w14:textId="77777777" w:rsidTr="0BB0A80F">
        <w:trPr>
          <w:trHeight w:val="300"/>
        </w:trPr>
        <w:tc>
          <w:tcPr>
            <w:tcW w:w="0" w:type="auto"/>
          </w:tcPr>
          <w:p w14:paraId="252D53C1" w14:textId="77777777" w:rsidR="005B6649" w:rsidRDefault="005B6649" w:rsidP="002C3A25">
            <w:r>
              <w:t>(Blank)</w:t>
            </w:r>
          </w:p>
        </w:tc>
        <w:tc>
          <w:tcPr>
            <w:tcW w:w="0" w:type="auto"/>
          </w:tcPr>
          <w:p w14:paraId="56F2EB87" w14:textId="77777777" w:rsidR="005B6649" w:rsidRDefault="005B6649" w:rsidP="002C3A25">
            <w:pPr>
              <w:jc w:val="center"/>
            </w:pPr>
            <w:r>
              <w:t>&lt;1%</w:t>
            </w:r>
          </w:p>
        </w:tc>
        <w:tc>
          <w:tcPr>
            <w:tcW w:w="0" w:type="auto"/>
          </w:tcPr>
          <w:p w14:paraId="404280C5" w14:textId="77777777" w:rsidR="005B6649" w:rsidRDefault="005B6649" w:rsidP="002C3A25">
            <w:pPr>
              <w:jc w:val="center"/>
            </w:pPr>
            <w:r>
              <w:t>&lt;1%</w:t>
            </w:r>
          </w:p>
        </w:tc>
        <w:tc>
          <w:tcPr>
            <w:tcW w:w="0" w:type="auto"/>
          </w:tcPr>
          <w:p w14:paraId="5252E087" w14:textId="77777777" w:rsidR="005B6649" w:rsidRDefault="005B6649" w:rsidP="002C3A25">
            <w:pPr>
              <w:jc w:val="center"/>
            </w:pPr>
            <w:r>
              <w:t>1%</w:t>
            </w:r>
          </w:p>
        </w:tc>
        <w:tc>
          <w:tcPr>
            <w:tcW w:w="0" w:type="auto"/>
          </w:tcPr>
          <w:p w14:paraId="507C8883" w14:textId="77777777" w:rsidR="005B6649" w:rsidRDefault="005B6649" w:rsidP="002C3A25">
            <w:pPr>
              <w:jc w:val="center"/>
            </w:pPr>
            <w:r>
              <w:t>--</w:t>
            </w:r>
          </w:p>
        </w:tc>
      </w:tr>
    </w:tbl>
    <w:p w14:paraId="64858BAC" w14:textId="77777777" w:rsidR="005B6649" w:rsidRDefault="005B6649" w:rsidP="005B6649"/>
    <w:tbl>
      <w:tblPr>
        <w:tblStyle w:val="TableGrid"/>
        <w:tblW w:w="0" w:type="auto"/>
        <w:tblLook w:val="04A0" w:firstRow="1" w:lastRow="0" w:firstColumn="1" w:lastColumn="0" w:noHBand="0" w:noVBand="1"/>
        <w:tblCaption w:val="Table8"/>
        <w:tblDescription w:val="Percentages of population, valid population, and SSB survey respondents on Veteran status."/>
      </w:tblPr>
      <w:tblGrid>
        <w:gridCol w:w="1468"/>
        <w:gridCol w:w="1733"/>
        <w:gridCol w:w="1732"/>
        <w:gridCol w:w="2073"/>
        <w:gridCol w:w="1124"/>
      </w:tblGrid>
      <w:tr w:rsidR="005B6649" w:rsidRPr="00452466" w14:paraId="7026DFAE" w14:textId="77777777" w:rsidTr="0BB0A80F">
        <w:trPr>
          <w:trHeight w:val="300"/>
        </w:trPr>
        <w:tc>
          <w:tcPr>
            <w:tcW w:w="0" w:type="auto"/>
          </w:tcPr>
          <w:p w14:paraId="724C2923" w14:textId="77777777" w:rsidR="005B6649" w:rsidRPr="00452466" w:rsidRDefault="005B6649" w:rsidP="002C3A25">
            <w:pPr>
              <w:rPr>
                <w:b/>
                <w:bCs/>
              </w:rPr>
            </w:pPr>
            <w:r w:rsidRPr="0BB0A80F">
              <w:rPr>
                <w:b/>
                <w:bCs/>
              </w:rPr>
              <w:t>Veteran</w:t>
            </w:r>
          </w:p>
        </w:tc>
        <w:tc>
          <w:tcPr>
            <w:tcW w:w="0" w:type="auto"/>
          </w:tcPr>
          <w:p w14:paraId="6ED313E1" w14:textId="77777777" w:rsidR="005B6649" w:rsidRPr="00452466" w:rsidRDefault="005B6649" w:rsidP="002C3A25">
            <w:pPr>
              <w:rPr>
                <w:b/>
                <w:bCs/>
              </w:rPr>
            </w:pPr>
            <w:r w:rsidRPr="0BB0A80F">
              <w:rPr>
                <w:b/>
                <w:bCs/>
              </w:rPr>
              <w:t>Total Population</w:t>
            </w:r>
          </w:p>
        </w:tc>
        <w:tc>
          <w:tcPr>
            <w:tcW w:w="0" w:type="auto"/>
          </w:tcPr>
          <w:p w14:paraId="32AE9BCB" w14:textId="77777777" w:rsidR="005B6649" w:rsidRPr="00452466" w:rsidRDefault="005B6649" w:rsidP="002C3A25">
            <w:pPr>
              <w:rPr>
                <w:b/>
                <w:bCs/>
              </w:rPr>
            </w:pPr>
            <w:r w:rsidRPr="0BB0A80F">
              <w:rPr>
                <w:b/>
                <w:bCs/>
              </w:rPr>
              <w:t>Valid Population</w:t>
            </w:r>
          </w:p>
        </w:tc>
        <w:tc>
          <w:tcPr>
            <w:tcW w:w="0" w:type="auto"/>
          </w:tcPr>
          <w:p w14:paraId="6F9B9ABA" w14:textId="77777777" w:rsidR="005B6649" w:rsidRPr="00452466" w:rsidRDefault="005B6649" w:rsidP="002C3A25">
            <w:pPr>
              <w:rPr>
                <w:b/>
                <w:bCs/>
              </w:rPr>
            </w:pPr>
            <w:r w:rsidRPr="0BB0A80F">
              <w:rPr>
                <w:b/>
                <w:bCs/>
              </w:rPr>
              <w:t>Survey Respondents</w:t>
            </w:r>
          </w:p>
        </w:tc>
        <w:tc>
          <w:tcPr>
            <w:tcW w:w="0" w:type="auto"/>
          </w:tcPr>
          <w:p w14:paraId="3F8BC58F" w14:textId="77777777" w:rsidR="005B6649" w:rsidRPr="00452466" w:rsidRDefault="005B6649" w:rsidP="002C3A25">
            <w:pPr>
              <w:rPr>
                <w:b/>
                <w:bCs/>
              </w:rPr>
            </w:pPr>
            <w:proofErr w:type="spellStart"/>
            <w:r w:rsidRPr="0BB0A80F">
              <w:rPr>
                <w:b/>
                <w:bCs/>
              </w:rPr>
              <w:t>MnCSI</w:t>
            </w:r>
            <w:proofErr w:type="spellEnd"/>
          </w:p>
        </w:tc>
      </w:tr>
      <w:tr w:rsidR="005B6649" w14:paraId="116B10EC" w14:textId="77777777" w:rsidTr="0BB0A80F">
        <w:trPr>
          <w:trHeight w:val="300"/>
        </w:trPr>
        <w:tc>
          <w:tcPr>
            <w:tcW w:w="0" w:type="auto"/>
          </w:tcPr>
          <w:p w14:paraId="1E600329" w14:textId="77777777" w:rsidR="005B6649" w:rsidRDefault="005B6649" w:rsidP="002C3A25">
            <w:r>
              <w:t>Veteran</w:t>
            </w:r>
          </w:p>
        </w:tc>
        <w:tc>
          <w:tcPr>
            <w:tcW w:w="0" w:type="auto"/>
          </w:tcPr>
          <w:p w14:paraId="6465F390" w14:textId="77777777" w:rsidR="005B6649" w:rsidRDefault="005B6649" w:rsidP="002C3A25">
            <w:pPr>
              <w:jc w:val="center"/>
            </w:pPr>
            <w:r>
              <w:t>1%</w:t>
            </w:r>
          </w:p>
        </w:tc>
        <w:tc>
          <w:tcPr>
            <w:tcW w:w="0" w:type="auto"/>
          </w:tcPr>
          <w:p w14:paraId="363DD9F1" w14:textId="77777777" w:rsidR="005B6649" w:rsidRDefault="005B6649" w:rsidP="002C3A25">
            <w:pPr>
              <w:jc w:val="center"/>
            </w:pPr>
            <w:r>
              <w:t>1%</w:t>
            </w:r>
          </w:p>
        </w:tc>
        <w:tc>
          <w:tcPr>
            <w:tcW w:w="0" w:type="auto"/>
          </w:tcPr>
          <w:p w14:paraId="7DDECB56" w14:textId="77777777" w:rsidR="005B6649" w:rsidRDefault="005B6649" w:rsidP="002C3A25">
            <w:pPr>
              <w:jc w:val="center"/>
            </w:pPr>
            <w:r>
              <w:t>1%</w:t>
            </w:r>
          </w:p>
        </w:tc>
        <w:tc>
          <w:tcPr>
            <w:tcW w:w="0" w:type="auto"/>
          </w:tcPr>
          <w:p w14:paraId="672BABCF" w14:textId="77777777" w:rsidR="005B6649" w:rsidRDefault="005B6649" w:rsidP="002C3A25">
            <w:pPr>
              <w:jc w:val="center"/>
            </w:pPr>
            <w:r>
              <w:t>--</w:t>
            </w:r>
          </w:p>
        </w:tc>
      </w:tr>
      <w:tr w:rsidR="005B6649" w14:paraId="694D1E25" w14:textId="77777777" w:rsidTr="0BB0A80F">
        <w:trPr>
          <w:trHeight w:val="300"/>
        </w:trPr>
        <w:tc>
          <w:tcPr>
            <w:tcW w:w="0" w:type="auto"/>
          </w:tcPr>
          <w:p w14:paraId="5374F6B7" w14:textId="77777777" w:rsidR="005B6649" w:rsidRDefault="005B6649" w:rsidP="002C3A25">
            <w:r>
              <w:t>Not a Veteran</w:t>
            </w:r>
          </w:p>
        </w:tc>
        <w:tc>
          <w:tcPr>
            <w:tcW w:w="0" w:type="auto"/>
          </w:tcPr>
          <w:p w14:paraId="4929A12C" w14:textId="77777777" w:rsidR="005B6649" w:rsidRDefault="005B6649" w:rsidP="002C3A25">
            <w:pPr>
              <w:jc w:val="center"/>
            </w:pPr>
            <w:r>
              <w:t>98%</w:t>
            </w:r>
          </w:p>
        </w:tc>
        <w:tc>
          <w:tcPr>
            <w:tcW w:w="0" w:type="auto"/>
          </w:tcPr>
          <w:p w14:paraId="5D18F4E4" w14:textId="77777777" w:rsidR="005B6649" w:rsidRDefault="005B6649" w:rsidP="002C3A25">
            <w:pPr>
              <w:jc w:val="center"/>
            </w:pPr>
            <w:r>
              <w:t>98%</w:t>
            </w:r>
          </w:p>
        </w:tc>
        <w:tc>
          <w:tcPr>
            <w:tcW w:w="0" w:type="auto"/>
          </w:tcPr>
          <w:p w14:paraId="2177BBDA" w14:textId="77777777" w:rsidR="005B6649" w:rsidRDefault="005B6649" w:rsidP="002C3A25">
            <w:pPr>
              <w:jc w:val="center"/>
            </w:pPr>
            <w:r>
              <w:t>98%</w:t>
            </w:r>
          </w:p>
        </w:tc>
        <w:tc>
          <w:tcPr>
            <w:tcW w:w="0" w:type="auto"/>
          </w:tcPr>
          <w:p w14:paraId="096E58B0" w14:textId="77777777" w:rsidR="005B6649" w:rsidRDefault="005B6649" w:rsidP="002C3A25">
            <w:pPr>
              <w:jc w:val="center"/>
            </w:pPr>
            <w:r>
              <w:t>78.7 (151)</w:t>
            </w:r>
          </w:p>
        </w:tc>
      </w:tr>
      <w:tr w:rsidR="005B6649" w14:paraId="25F4EC37" w14:textId="77777777" w:rsidTr="0BB0A80F">
        <w:trPr>
          <w:trHeight w:val="300"/>
        </w:trPr>
        <w:tc>
          <w:tcPr>
            <w:tcW w:w="0" w:type="auto"/>
          </w:tcPr>
          <w:p w14:paraId="4E8A52D9" w14:textId="77777777" w:rsidR="005B6649" w:rsidRDefault="005B6649" w:rsidP="002C3A25">
            <w:r>
              <w:lastRenderedPageBreak/>
              <w:t>(Blank)</w:t>
            </w:r>
          </w:p>
        </w:tc>
        <w:tc>
          <w:tcPr>
            <w:tcW w:w="0" w:type="auto"/>
          </w:tcPr>
          <w:p w14:paraId="2B992DC5" w14:textId="77777777" w:rsidR="005B6649" w:rsidRDefault="005B6649" w:rsidP="002C3A25">
            <w:pPr>
              <w:jc w:val="center"/>
            </w:pPr>
            <w:r>
              <w:t>1%</w:t>
            </w:r>
          </w:p>
        </w:tc>
        <w:tc>
          <w:tcPr>
            <w:tcW w:w="0" w:type="auto"/>
          </w:tcPr>
          <w:p w14:paraId="2E7D975D" w14:textId="77777777" w:rsidR="005B6649" w:rsidRDefault="005B6649" w:rsidP="002C3A25">
            <w:pPr>
              <w:jc w:val="center"/>
            </w:pPr>
            <w:r>
              <w:t>1%</w:t>
            </w:r>
          </w:p>
        </w:tc>
        <w:tc>
          <w:tcPr>
            <w:tcW w:w="0" w:type="auto"/>
          </w:tcPr>
          <w:p w14:paraId="2324987D" w14:textId="77777777" w:rsidR="005B6649" w:rsidRDefault="005B6649" w:rsidP="002C3A25">
            <w:pPr>
              <w:jc w:val="center"/>
            </w:pPr>
            <w:r>
              <w:t>1%</w:t>
            </w:r>
          </w:p>
        </w:tc>
        <w:tc>
          <w:tcPr>
            <w:tcW w:w="0" w:type="auto"/>
          </w:tcPr>
          <w:p w14:paraId="4DFAB4BF" w14:textId="77777777" w:rsidR="005B6649" w:rsidRDefault="005B6649" w:rsidP="002C3A25">
            <w:pPr>
              <w:jc w:val="center"/>
            </w:pPr>
            <w:r>
              <w:t>--</w:t>
            </w:r>
          </w:p>
        </w:tc>
      </w:tr>
    </w:tbl>
    <w:p w14:paraId="4016B1E1" w14:textId="77777777" w:rsidR="005B6649" w:rsidRDefault="005B6649" w:rsidP="005B6649"/>
    <w:tbl>
      <w:tblPr>
        <w:tblStyle w:val="TableGrid"/>
        <w:tblW w:w="8429" w:type="dxa"/>
        <w:tblLook w:val="04A0" w:firstRow="1" w:lastRow="0" w:firstColumn="1" w:lastColumn="0" w:noHBand="0" w:noVBand="1"/>
        <w:tblCaption w:val="Table9"/>
        <w:tblDescription w:val="Percentages of population, valid population, and SSB survey respondents on their age range."/>
      </w:tblPr>
      <w:tblGrid>
        <w:gridCol w:w="1421"/>
        <w:gridCol w:w="1733"/>
        <w:gridCol w:w="1732"/>
        <w:gridCol w:w="2073"/>
        <w:gridCol w:w="1470"/>
      </w:tblGrid>
      <w:tr w:rsidR="005B6649" w:rsidRPr="00452466" w14:paraId="15FC6E39" w14:textId="77777777" w:rsidTr="0A725191">
        <w:trPr>
          <w:trHeight w:val="300"/>
        </w:trPr>
        <w:tc>
          <w:tcPr>
            <w:tcW w:w="1421" w:type="dxa"/>
          </w:tcPr>
          <w:p w14:paraId="41B2CB8C" w14:textId="77777777" w:rsidR="005B6649" w:rsidRPr="00452466" w:rsidRDefault="005B6649" w:rsidP="002C3A25">
            <w:pPr>
              <w:rPr>
                <w:b/>
                <w:bCs/>
              </w:rPr>
            </w:pPr>
            <w:r w:rsidRPr="0BB0A80F">
              <w:rPr>
                <w:b/>
                <w:bCs/>
              </w:rPr>
              <w:t>Age range</w:t>
            </w:r>
          </w:p>
        </w:tc>
        <w:tc>
          <w:tcPr>
            <w:tcW w:w="1733" w:type="dxa"/>
          </w:tcPr>
          <w:p w14:paraId="0337864A" w14:textId="77777777" w:rsidR="005B6649" w:rsidRPr="00452466" w:rsidRDefault="005B6649" w:rsidP="002C3A25">
            <w:pPr>
              <w:rPr>
                <w:b/>
                <w:bCs/>
              </w:rPr>
            </w:pPr>
            <w:r w:rsidRPr="0BB0A80F">
              <w:rPr>
                <w:b/>
                <w:bCs/>
              </w:rPr>
              <w:t>Total Population</w:t>
            </w:r>
          </w:p>
        </w:tc>
        <w:tc>
          <w:tcPr>
            <w:tcW w:w="1732" w:type="dxa"/>
          </w:tcPr>
          <w:p w14:paraId="042782DA" w14:textId="77777777" w:rsidR="005B6649" w:rsidRPr="00452466" w:rsidRDefault="005B6649" w:rsidP="002C3A25">
            <w:pPr>
              <w:rPr>
                <w:b/>
                <w:bCs/>
              </w:rPr>
            </w:pPr>
            <w:r w:rsidRPr="0BB0A80F">
              <w:rPr>
                <w:b/>
                <w:bCs/>
              </w:rPr>
              <w:t>Valid Population</w:t>
            </w:r>
          </w:p>
        </w:tc>
        <w:tc>
          <w:tcPr>
            <w:tcW w:w="2073" w:type="dxa"/>
          </w:tcPr>
          <w:p w14:paraId="7AD3A0FD" w14:textId="77777777" w:rsidR="005B6649" w:rsidRPr="00452466" w:rsidRDefault="005B6649" w:rsidP="002C3A25">
            <w:pPr>
              <w:rPr>
                <w:b/>
                <w:bCs/>
              </w:rPr>
            </w:pPr>
            <w:r w:rsidRPr="0BB0A80F">
              <w:rPr>
                <w:b/>
                <w:bCs/>
              </w:rPr>
              <w:t>Survey Respondents</w:t>
            </w:r>
          </w:p>
        </w:tc>
        <w:tc>
          <w:tcPr>
            <w:tcW w:w="1470" w:type="dxa"/>
          </w:tcPr>
          <w:p w14:paraId="23D3F8CC" w14:textId="77777777" w:rsidR="005B6649" w:rsidRPr="00452466" w:rsidRDefault="005B6649" w:rsidP="002C3A25">
            <w:pPr>
              <w:rPr>
                <w:b/>
                <w:bCs/>
              </w:rPr>
            </w:pPr>
            <w:proofErr w:type="spellStart"/>
            <w:r w:rsidRPr="0BB0A80F">
              <w:rPr>
                <w:b/>
                <w:bCs/>
              </w:rPr>
              <w:t>MnCSI</w:t>
            </w:r>
            <w:proofErr w:type="spellEnd"/>
          </w:p>
        </w:tc>
      </w:tr>
      <w:tr w:rsidR="005B6649" w:rsidRPr="00452466" w14:paraId="40718E0E" w14:textId="77777777" w:rsidTr="0A725191">
        <w:trPr>
          <w:trHeight w:val="300"/>
        </w:trPr>
        <w:tc>
          <w:tcPr>
            <w:tcW w:w="1421" w:type="dxa"/>
          </w:tcPr>
          <w:p w14:paraId="101D3875" w14:textId="77777777" w:rsidR="005B6649" w:rsidRPr="00874C6A" w:rsidRDefault="005B6649" w:rsidP="002C3A25">
            <w:r>
              <w:t>Less than 18</w:t>
            </w:r>
          </w:p>
        </w:tc>
        <w:tc>
          <w:tcPr>
            <w:tcW w:w="1733" w:type="dxa"/>
          </w:tcPr>
          <w:p w14:paraId="4C0B9960" w14:textId="77777777" w:rsidR="005B6649" w:rsidRPr="00874C6A" w:rsidRDefault="005B6649" w:rsidP="002C3A25">
            <w:pPr>
              <w:jc w:val="center"/>
            </w:pPr>
            <w:r>
              <w:t>9%</w:t>
            </w:r>
          </w:p>
        </w:tc>
        <w:tc>
          <w:tcPr>
            <w:tcW w:w="1732" w:type="dxa"/>
          </w:tcPr>
          <w:p w14:paraId="7407CC8B" w14:textId="77777777" w:rsidR="005B6649" w:rsidRPr="00874C6A" w:rsidRDefault="005B6649" w:rsidP="002C3A25">
            <w:pPr>
              <w:jc w:val="center"/>
            </w:pPr>
            <w:r>
              <w:t>9%</w:t>
            </w:r>
          </w:p>
        </w:tc>
        <w:tc>
          <w:tcPr>
            <w:tcW w:w="2073" w:type="dxa"/>
          </w:tcPr>
          <w:p w14:paraId="6A3ED413" w14:textId="77777777" w:rsidR="005B6649" w:rsidRPr="00CB6896" w:rsidRDefault="005B6649" w:rsidP="002C3A25">
            <w:pPr>
              <w:jc w:val="center"/>
            </w:pPr>
            <w:r>
              <w:t>7%</w:t>
            </w:r>
          </w:p>
        </w:tc>
        <w:tc>
          <w:tcPr>
            <w:tcW w:w="1470" w:type="dxa"/>
          </w:tcPr>
          <w:p w14:paraId="075AC62E" w14:textId="77777777" w:rsidR="005B6649" w:rsidRPr="00CB6896" w:rsidRDefault="005B6649" w:rsidP="002C3A25">
            <w:pPr>
              <w:jc w:val="center"/>
            </w:pPr>
            <w:r>
              <w:t>69.4 (4)</w:t>
            </w:r>
          </w:p>
        </w:tc>
      </w:tr>
      <w:tr w:rsidR="005B6649" w:rsidRPr="00452466" w14:paraId="2662F33A" w14:textId="77777777" w:rsidTr="0A725191">
        <w:trPr>
          <w:trHeight w:val="300"/>
        </w:trPr>
        <w:tc>
          <w:tcPr>
            <w:tcW w:w="1421" w:type="dxa"/>
          </w:tcPr>
          <w:p w14:paraId="5F638387" w14:textId="77777777" w:rsidR="005B6649" w:rsidRPr="00874C6A" w:rsidRDefault="005B6649" w:rsidP="002C3A25">
            <w:r>
              <w:t>18-24</w:t>
            </w:r>
          </w:p>
        </w:tc>
        <w:tc>
          <w:tcPr>
            <w:tcW w:w="1733" w:type="dxa"/>
          </w:tcPr>
          <w:p w14:paraId="07B9C716" w14:textId="77777777" w:rsidR="005B6649" w:rsidRPr="00874C6A" w:rsidRDefault="005B6649" w:rsidP="002C3A25">
            <w:pPr>
              <w:jc w:val="center"/>
            </w:pPr>
            <w:r>
              <w:t>25%</w:t>
            </w:r>
          </w:p>
        </w:tc>
        <w:tc>
          <w:tcPr>
            <w:tcW w:w="1732" w:type="dxa"/>
          </w:tcPr>
          <w:p w14:paraId="7D173FD3" w14:textId="77777777" w:rsidR="005B6649" w:rsidRPr="00874C6A" w:rsidRDefault="005B6649" w:rsidP="002C3A25">
            <w:pPr>
              <w:jc w:val="center"/>
            </w:pPr>
            <w:r>
              <w:t>26%</w:t>
            </w:r>
          </w:p>
        </w:tc>
        <w:tc>
          <w:tcPr>
            <w:tcW w:w="2073" w:type="dxa"/>
          </w:tcPr>
          <w:p w14:paraId="7FF881A0" w14:textId="77777777" w:rsidR="005B6649" w:rsidRPr="00CB6896" w:rsidRDefault="005B6649" w:rsidP="002C3A25">
            <w:pPr>
              <w:jc w:val="center"/>
            </w:pPr>
            <w:r>
              <w:t>26%</w:t>
            </w:r>
          </w:p>
        </w:tc>
        <w:tc>
          <w:tcPr>
            <w:tcW w:w="1470" w:type="dxa"/>
          </w:tcPr>
          <w:p w14:paraId="7B91E09D" w14:textId="77777777" w:rsidR="005B6649" w:rsidRPr="00CB6896" w:rsidRDefault="005B6649" w:rsidP="002C3A25">
            <w:pPr>
              <w:jc w:val="center"/>
            </w:pPr>
            <w:r>
              <w:t>84.3 (39)</w:t>
            </w:r>
          </w:p>
        </w:tc>
      </w:tr>
      <w:tr w:rsidR="005B6649" w14:paraId="3B6C88D3" w14:textId="77777777" w:rsidTr="0A725191">
        <w:trPr>
          <w:trHeight w:val="300"/>
        </w:trPr>
        <w:tc>
          <w:tcPr>
            <w:tcW w:w="1421" w:type="dxa"/>
          </w:tcPr>
          <w:p w14:paraId="3D19CC37" w14:textId="77777777" w:rsidR="005B6649" w:rsidRDefault="005B6649" w:rsidP="002C3A25">
            <w:r>
              <w:t>25-44</w:t>
            </w:r>
          </w:p>
        </w:tc>
        <w:tc>
          <w:tcPr>
            <w:tcW w:w="1733" w:type="dxa"/>
          </w:tcPr>
          <w:p w14:paraId="21BC3326" w14:textId="77777777" w:rsidR="005B6649" w:rsidRDefault="005B6649" w:rsidP="002C3A25">
            <w:pPr>
              <w:jc w:val="center"/>
            </w:pPr>
            <w:r>
              <w:t>32%</w:t>
            </w:r>
          </w:p>
        </w:tc>
        <w:tc>
          <w:tcPr>
            <w:tcW w:w="1732" w:type="dxa"/>
          </w:tcPr>
          <w:p w14:paraId="4C02F220" w14:textId="77777777" w:rsidR="005B6649" w:rsidRDefault="005B6649" w:rsidP="002C3A25">
            <w:pPr>
              <w:jc w:val="center"/>
            </w:pPr>
            <w:r>
              <w:t>33%</w:t>
            </w:r>
          </w:p>
        </w:tc>
        <w:tc>
          <w:tcPr>
            <w:tcW w:w="2073" w:type="dxa"/>
          </w:tcPr>
          <w:p w14:paraId="280F8DBE" w14:textId="77777777" w:rsidR="005B6649" w:rsidRPr="00CB6896" w:rsidRDefault="005B6649" w:rsidP="002C3A25">
            <w:pPr>
              <w:jc w:val="center"/>
            </w:pPr>
            <w:r>
              <w:t>30%</w:t>
            </w:r>
          </w:p>
        </w:tc>
        <w:tc>
          <w:tcPr>
            <w:tcW w:w="1470" w:type="dxa"/>
          </w:tcPr>
          <w:p w14:paraId="77BD7CE0" w14:textId="77777777" w:rsidR="005B6649" w:rsidRPr="00CB6896" w:rsidRDefault="005B6649" w:rsidP="002C3A25">
            <w:pPr>
              <w:jc w:val="center"/>
            </w:pPr>
            <w:r>
              <w:t>74.0 (48)</w:t>
            </w:r>
          </w:p>
        </w:tc>
      </w:tr>
      <w:tr w:rsidR="005B6649" w14:paraId="6AB346BA" w14:textId="77777777" w:rsidTr="0A725191">
        <w:trPr>
          <w:trHeight w:val="300"/>
        </w:trPr>
        <w:tc>
          <w:tcPr>
            <w:tcW w:w="1421" w:type="dxa"/>
          </w:tcPr>
          <w:p w14:paraId="4DC9CC69" w14:textId="77777777" w:rsidR="005B6649" w:rsidRDefault="005B6649" w:rsidP="002C3A25">
            <w:r>
              <w:t>45-54</w:t>
            </w:r>
          </w:p>
        </w:tc>
        <w:tc>
          <w:tcPr>
            <w:tcW w:w="1733" w:type="dxa"/>
          </w:tcPr>
          <w:p w14:paraId="51B3B61B" w14:textId="77777777" w:rsidR="005B6649" w:rsidRDefault="005B6649" w:rsidP="002C3A25">
            <w:pPr>
              <w:jc w:val="center"/>
            </w:pPr>
            <w:r>
              <w:t>16%</w:t>
            </w:r>
          </w:p>
        </w:tc>
        <w:tc>
          <w:tcPr>
            <w:tcW w:w="1732" w:type="dxa"/>
          </w:tcPr>
          <w:p w14:paraId="765DFB1A" w14:textId="77777777" w:rsidR="005B6649" w:rsidRDefault="005B6649" w:rsidP="002C3A25">
            <w:pPr>
              <w:jc w:val="center"/>
            </w:pPr>
            <w:r>
              <w:t>16%</w:t>
            </w:r>
          </w:p>
        </w:tc>
        <w:tc>
          <w:tcPr>
            <w:tcW w:w="2073" w:type="dxa"/>
          </w:tcPr>
          <w:p w14:paraId="0E7717B9" w14:textId="77777777" w:rsidR="005B6649" w:rsidRPr="00CB6896" w:rsidRDefault="005B6649" w:rsidP="002C3A25">
            <w:pPr>
              <w:jc w:val="center"/>
            </w:pPr>
            <w:r>
              <w:t>19%</w:t>
            </w:r>
          </w:p>
        </w:tc>
        <w:tc>
          <w:tcPr>
            <w:tcW w:w="1470" w:type="dxa"/>
          </w:tcPr>
          <w:p w14:paraId="09D5D0AE" w14:textId="77777777" w:rsidR="005B6649" w:rsidRPr="00CB6896" w:rsidRDefault="005B6649" w:rsidP="002C3A25">
            <w:pPr>
              <w:jc w:val="center"/>
            </w:pPr>
            <w:r>
              <w:t>81.2 (34)</w:t>
            </w:r>
          </w:p>
        </w:tc>
      </w:tr>
      <w:tr w:rsidR="005B6649" w14:paraId="2EF75E47" w14:textId="77777777" w:rsidTr="0A725191">
        <w:trPr>
          <w:trHeight w:val="300"/>
        </w:trPr>
        <w:tc>
          <w:tcPr>
            <w:tcW w:w="1421" w:type="dxa"/>
          </w:tcPr>
          <w:p w14:paraId="7AAD2B27" w14:textId="77777777" w:rsidR="005B6649" w:rsidRDefault="005B6649" w:rsidP="002C3A25">
            <w:r>
              <w:t>55-59</w:t>
            </w:r>
          </w:p>
        </w:tc>
        <w:tc>
          <w:tcPr>
            <w:tcW w:w="1733" w:type="dxa"/>
          </w:tcPr>
          <w:p w14:paraId="605D7259" w14:textId="77777777" w:rsidR="005B6649" w:rsidRDefault="005B6649" w:rsidP="002C3A25">
            <w:pPr>
              <w:jc w:val="center"/>
            </w:pPr>
            <w:r>
              <w:t>8%</w:t>
            </w:r>
          </w:p>
        </w:tc>
        <w:tc>
          <w:tcPr>
            <w:tcW w:w="1732" w:type="dxa"/>
          </w:tcPr>
          <w:p w14:paraId="7BF8B1D8" w14:textId="77777777" w:rsidR="005B6649" w:rsidRDefault="005B6649" w:rsidP="002C3A25">
            <w:pPr>
              <w:jc w:val="center"/>
            </w:pPr>
            <w:r>
              <w:t>7%</w:t>
            </w:r>
          </w:p>
        </w:tc>
        <w:tc>
          <w:tcPr>
            <w:tcW w:w="2073" w:type="dxa"/>
          </w:tcPr>
          <w:p w14:paraId="0ECBB2CB" w14:textId="77777777" w:rsidR="005B6649" w:rsidRPr="00CB6896" w:rsidRDefault="005B6649" w:rsidP="002C3A25">
            <w:pPr>
              <w:jc w:val="center"/>
            </w:pPr>
            <w:r>
              <w:t>6%</w:t>
            </w:r>
          </w:p>
        </w:tc>
        <w:tc>
          <w:tcPr>
            <w:tcW w:w="1470" w:type="dxa"/>
          </w:tcPr>
          <w:p w14:paraId="3796CB05" w14:textId="77777777" w:rsidR="005B6649" w:rsidRPr="00CB6896" w:rsidRDefault="005B6649" w:rsidP="002C3A25">
            <w:pPr>
              <w:jc w:val="center"/>
            </w:pPr>
            <w:r>
              <w:t>70.0 (11)</w:t>
            </w:r>
          </w:p>
        </w:tc>
      </w:tr>
      <w:tr w:rsidR="005B6649" w14:paraId="385F7C3D" w14:textId="77777777" w:rsidTr="0A725191">
        <w:trPr>
          <w:trHeight w:val="300"/>
        </w:trPr>
        <w:tc>
          <w:tcPr>
            <w:tcW w:w="1421" w:type="dxa"/>
          </w:tcPr>
          <w:p w14:paraId="62E88D00" w14:textId="77777777" w:rsidR="005B6649" w:rsidRDefault="005B6649" w:rsidP="002C3A25">
            <w:r>
              <w:t>60 and above</w:t>
            </w:r>
          </w:p>
        </w:tc>
        <w:tc>
          <w:tcPr>
            <w:tcW w:w="1733" w:type="dxa"/>
          </w:tcPr>
          <w:p w14:paraId="0E763695" w14:textId="77777777" w:rsidR="005B6649" w:rsidRDefault="005B6649" w:rsidP="002C3A25">
            <w:pPr>
              <w:jc w:val="center"/>
            </w:pPr>
            <w:r>
              <w:t>11%</w:t>
            </w:r>
          </w:p>
        </w:tc>
        <w:tc>
          <w:tcPr>
            <w:tcW w:w="1732" w:type="dxa"/>
          </w:tcPr>
          <w:p w14:paraId="6818B616" w14:textId="77777777" w:rsidR="005B6649" w:rsidRDefault="005B6649" w:rsidP="002C3A25">
            <w:pPr>
              <w:jc w:val="center"/>
            </w:pPr>
            <w:r>
              <w:t>10%</w:t>
            </w:r>
          </w:p>
        </w:tc>
        <w:tc>
          <w:tcPr>
            <w:tcW w:w="2073" w:type="dxa"/>
          </w:tcPr>
          <w:p w14:paraId="170E6088" w14:textId="77777777" w:rsidR="005B6649" w:rsidRPr="00CB6896" w:rsidRDefault="005B6649" w:rsidP="002C3A25">
            <w:pPr>
              <w:jc w:val="center"/>
            </w:pPr>
            <w:r>
              <w:t>11%</w:t>
            </w:r>
          </w:p>
        </w:tc>
        <w:tc>
          <w:tcPr>
            <w:tcW w:w="1470" w:type="dxa"/>
          </w:tcPr>
          <w:p w14:paraId="1D9A0285" w14:textId="77777777" w:rsidR="005B6649" w:rsidRPr="00CB6896" w:rsidRDefault="005B6649" w:rsidP="002C3A25">
            <w:pPr>
              <w:jc w:val="center"/>
            </w:pPr>
            <w:r>
              <w:t>77.5 (18)</w:t>
            </w:r>
          </w:p>
        </w:tc>
      </w:tr>
    </w:tbl>
    <w:p w14:paraId="422DF46C" w14:textId="77777777" w:rsidR="005B6649" w:rsidRDefault="005B6649" w:rsidP="005B6649"/>
    <w:tbl>
      <w:tblPr>
        <w:tblStyle w:val="TableGrid"/>
        <w:tblW w:w="10418" w:type="dxa"/>
        <w:tblLook w:val="04A0" w:firstRow="1" w:lastRow="0" w:firstColumn="1" w:lastColumn="0" w:noHBand="0" w:noVBand="1"/>
        <w:tblCaption w:val="Table10"/>
        <w:tblDescription w:val="Percentages of population, valid population, and SSB survey respondents on their education level."/>
      </w:tblPr>
      <w:tblGrid>
        <w:gridCol w:w="3350"/>
        <w:gridCol w:w="1733"/>
        <w:gridCol w:w="1732"/>
        <w:gridCol w:w="2073"/>
        <w:gridCol w:w="1530"/>
      </w:tblGrid>
      <w:tr w:rsidR="005B6649" w:rsidRPr="00452466" w14:paraId="4866260A" w14:textId="77777777" w:rsidTr="4DDF7455">
        <w:trPr>
          <w:trHeight w:val="300"/>
        </w:trPr>
        <w:tc>
          <w:tcPr>
            <w:tcW w:w="3350" w:type="dxa"/>
          </w:tcPr>
          <w:p w14:paraId="780698EA" w14:textId="77777777" w:rsidR="005B6649" w:rsidRPr="00452466" w:rsidRDefault="005B6649" w:rsidP="002C3A25">
            <w:pPr>
              <w:rPr>
                <w:b/>
                <w:bCs/>
              </w:rPr>
            </w:pPr>
            <w:r w:rsidRPr="0BB0A80F">
              <w:rPr>
                <w:b/>
                <w:bCs/>
              </w:rPr>
              <w:t>Education indicated</w:t>
            </w:r>
          </w:p>
        </w:tc>
        <w:tc>
          <w:tcPr>
            <w:tcW w:w="1733" w:type="dxa"/>
          </w:tcPr>
          <w:p w14:paraId="3025465D" w14:textId="77777777" w:rsidR="005B6649" w:rsidRPr="00452466" w:rsidRDefault="005B6649" w:rsidP="002C3A25">
            <w:pPr>
              <w:rPr>
                <w:b/>
                <w:bCs/>
              </w:rPr>
            </w:pPr>
            <w:r w:rsidRPr="0BB0A80F">
              <w:rPr>
                <w:b/>
                <w:bCs/>
              </w:rPr>
              <w:t>Total Population</w:t>
            </w:r>
          </w:p>
        </w:tc>
        <w:tc>
          <w:tcPr>
            <w:tcW w:w="1732" w:type="dxa"/>
          </w:tcPr>
          <w:p w14:paraId="21093348" w14:textId="77777777" w:rsidR="005B6649" w:rsidRPr="00452466" w:rsidRDefault="005B6649" w:rsidP="002C3A25">
            <w:pPr>
              <w:rPr>
                <w:b/>
                <w:bCs/>
              </w:rPr>
            </w:pPr>
            <w:r w:rsidRPr="0BB0A80F">
              <w:rPr>
                <w:b/>
                <w:bCs/>
              </w:rPr>
              <w:t>Valid Population</w:t>
            </w:r>
          </w:p>
        </w:tc>
        <w:tc>
          <w:tcPr>
            <w:tcW w:w="2073" w:type="dxa"/>
          </w:tcPr>
          <w:p w14:paraId="79010E4B" w14:textId="77777777" w:rsidR="005B6649" w:rsidRPr="00452466" w:rsidRDefault="005B6649" w:rsidP="002C3A25">
            <w:pPr>
              <w:rPr>
                <w:b/>
                <w:bCs/>
              </w:rPr>
            </w:pPr>
            <w:r w:rsidRPr="0BB0A80F">
              <w:rPr>
                <w:b/>
                <w:bCs/>
              </w:rPr>
              <w:t>Survey Respondents</w:t>
            </w:r>
          </w:p>
        </w:tc>
        <w:tc>
          <w:tcPr>
            <w:tcW w:w="1530" w:type="dxa"/>
          </w:tcPr>
          <w:p w14:paraId="388E5BD7" w14:textId="77777777" w:rsidR="005B6649" w:rsidRPr="00452466" w:rsidRDefault="005B6649" w:rsidP="002C3A25">
            <w:pPr>
              <w:rPr>
                <w:b/>
                <w:bCs/>
              </w:rPr>
            </w:pPr>
            <w:proofErr w:type="spellStart"/>
            <w:r w:rsidRPr="0BB0A80F">
              <w:rPr>
                <w:b/>
                <w:bCs/>
              </w:rPr>
              <w:t>MnCSI</w:t>
            </w:r>
            <w:proofErr w:type="spellEnd"/>
          </w:p>
        </w:tc>
      </w:tr>
      <w:tr w:rsidR="005B6649" w:rsidRPr="00452466" w14:paraId="5FCDEA61" w14:textId="77777777" w:rsidTr="4DDF7455">
        <w:trPr>
          <w:trHeight w:val="300"/>
        </w:trPr>
        <w:tc>
          <w:tcPr>
            <w:tcW w:w="3350" w:type="dxa"/>
          </w:tcPr>
          <w:p w14:paraId="11CE2CCB" w14:textId="77777777" w:rsidR="005B6649" w:rsidRPr="00874C6A" w:rsidRDefault="005B6649" w:rsidP="002C3A25">
            <w:r>
              <w:t>None</w:t>
            </w:r>
          </w:p>
        </w:tc>
        <w:tc>
          <w:tcPr>
            <w:tcW w:w="1733" w:type="dxa"/>
          </w:tcPr>
          <w:p w14:paraId="2D993573" w14:textId="77777777" w:rsidR="005B6649" w:rsidRPr="00874C6A" w:rsidRDefault="005B6649" w:rsidP="002C3A25">
            <w:pPr>
              <w:jc w:val="center"/>
            </w:pPr>
            <w:r>
              <w:t>1%</w:t>
            </w:r>
          </w:p>
        </w:tc>
        <w:tc>
          <w:tcPr>
            <w:tcW w:w="1732" w:type="dxa"/>
          </w:tcPr>
          <w:p w14:paraId="69A43E1D" w14:textId="77777777" w:rsidR="005B6649" w:rsidRPr="00874C6A" w:rsidRDefault="005B6649" w:rsidP="002C3A25">
            <w:pPr>
              <w:jc w:val="center"/>
            </w:pPr>
            <w:r>
              <w:t>1%</w:t>
            </w:r>
          </w:p>
        </w:tc>
        <w:tc>
          <w:tcPr>
            <w:tcW w:w="2073" w:type="dxa"/>
          </w:tcPr>
          <w:p w14:paraId="5CEFC75C" w14:textId="77777777" w:rsidR="005B6649" w:rsidRPr="00874C6A" w:rsidRDefault="005B6649" w:rsidP="002C3A25">
            <w:pPr>
              <w:jc w:val="center"/>
            </w:pPr>
            <w:r>
              <w:t>1%</w:t>
            </w:r>
          </w:p>
        </w:tc>
        <w:tc>
          <w:tcPr>
            <w:tcW w:w="1530" w:type="dxa"/>
          </w:tcPr>
          <w:p w14:paraId="75BFF2AE" w14:textId="77777777" w:rsidR="005B6649" w:rsidRDefault="005B6649" w:rsidP="002C3A25">
            <w:pPr>
              <w:jc w:val="center"/>
            </w:pPr>
            <w:r>
              <w:t>--</w:t>
            </w:r>
          </w:p>
        </w:tc>
      </w:tr>
      <w:tr w:rsidR="005B6649" w:rsidRPr="00452466" w14:paraId="2EB88359" w14:textId="77777777" w:rsidTr="4DDF7455">
        <w:trPr>
          <w:trHeight w:val="300"/>
        </w:trPr>
        <w:tc>
          <w:tcPr>
            <w:tcW w:w="3350" w:type="dxa"/>
          </w:tcPr>
          <w:p w14:paraId="79A57E1A" w14:textId="77777777" w:rsidR="005B6649" w:rsidRPr="00874C6A" w:rsidRDefault="005B6649" w:rsidP="002C3A25">
            <w:r>
              <w:t>Less than High School</w:t>
            </w:r>
          </w:p>
        </w:tc>
        <w:tc>
          <w:tcPr>
            <w:tcW w:w="1733" w:type="dxa"/>
          </w:tcPr>
          <w:p w14:paraId="5CE396BE" w14:textId="77777777" w:rsidR="005B6649" w:rsidRPr="00874C6A" w:rsidRDefault="005B6649" w:rsidP="002C3A25">
            <w:pPr>
              <w:jc w:val="center"/>
            </w:pPr>
            <w:r>
              <w:t>4%</w:t>
            </w:r>
          </w:p>
        </w:tc>
        <w:tc>
          <w:tcPr>
            <w:tcW w:w="1732" w:type="dxa"/>
          </w:tcPr>
          <w:p w14:paraId="221AD510" w14:textId="77777777" w:rsidR="005B6649" w:rsidRPr="00874C6A" w:rsidRDefault="005B6649" w:rsidP="002C3A25">
            <w:pPr>
              <w:jc w:val="center"/>
            </w:pPr>
            <w:r>
              <w:t>4%</w:t>
            </w:r>
          </w:p>
        </w:tc>
        <w:tc>
          <w:tcPr>
            <w:tcW w:w="2073" w:type="dxa"/>
          </w:tcPr>
          <w:p w14:paraId="7A6C78B6" w14:textId="77777777" w:rsidR="005B6649" w:rsidRPr="00874C6A" w:rsidRDefault="005B6649" w:rsidP="002C3A25">
            <w:pPr>
              <w:jc w:val="center"/>
            </w:pPr>
            <w:r>
              <w:t>2%</w:t>
            </w:r>
          </w:p>
        </w:tc>
        <w:tc>
          <w:tcPr>
            <w:tcW w:w="1530" w:type="dxa"/>
          </w:tcPr>
          <w:p w14:paraId="2E5FDD46" w14:textId="77777777" w:rsidR="005B6649" w:rsidRDefault="005B6649" w:rsidP="002C3A25">
            <w:pPr>
              <w:jc w:val="center"/>
            </w:pPr>
            <w:r>
              <w:t>--</w:t>
            </w:r>
          </w:p>
        </w:tc>
      </w:tr>
      <w:tr w:rsidR="005B6649" w14:paraId="5A34BD75" w14:textId="77777777" w:rsidTr="4DDF7455">
        <w:trPr>
          <w:trHeight w:val="300"/>
        </w:trPr>
        <w:tc>
          <w:tcPr>
            <w:tcW w:w="3350" w:type="dxa"/>
          </w:tcPr>
          <w:p w14:paraId="7793BAA8" w14:textId="77777777" w:rsidR="005B6649" w:rsidRDefault="005B6649" w:rsidP="002C3A25">
            <w:r>
              <w:t>High School</w:t>
            </w:r>
          </w:p>
        </w:tc>
        <w:tc>
          <w:tcPr>
            <w:tcW w:w="1733" w:type="dxa"/>
          </w:tcPr>
          <w:p w14:paraId="796CAA40" w14:textId="77777777" w:rsidR="005B6649" w:rsidRDefault="005B6649" w:rsidP="002C3A25">
            <w:pPr>
              <w:jc w:val="center"/>
            </w:pPr>
            <w:r>
              <w:t>16%</w:t>
            </w:r>
          </w:p>
        </w:tc>
        <w:tc>
          <w:tcPr>
            <w:tcW w:w="1732" w:type="dxa"/>
          </w:tcPr>
          <w:p w14:paraId="58CC56C1" w14:textId="77777777" w:rsidR="005B6649" w:rsidRDefault="005B6649" w:rsidP="002C3A25">
            <w:pPr>
              <w:jc w:val="center"/>
            </w:pPr>
            <w:r>
              <w:t>15%</w:t>
            </w:r>
          </w:p>
        </w:tc>
        <w:tc>
          <w:tcPr>
            <w:tcW w:w="2073" w:type="dxa"/>
          </w:tcPr>
          <w:p w14:paraId="32290D8B" w14:textId="77777777" w:rsidR="005B6649" w:rsidRDefault="005B6649" w:rsidP="002C3A25">
            <w:pPr>
              <w:jc w:val="center"/>
            </w:pPr>
            <w:r>
              <w:t>16%</w:t>
            </w:r>
          </w:p>
        </w:tc>
        <w:tc>
          <w:tcPr>
            <w:tcW w:w="1530" w:type="dxa"/>
          </w:tcPr>
          <w:p w14:paraId="6BF968C2" w14:textId="77777777" w:rsidR="005B6649" w:rsidRDefault="005B6649" w:rsidP="002C3A25">
            <w:pPr>
              <w:jc w:val="center"/>
            </w:pPr>
            <w:r>
              <w:t>81.7 (17)</w:t>
            </w:r>
          </w:p>
        </w:tc>
      </w:tr>
      <w:tr w:rsidR="005B6649" w14:paraId="77D949FA" w14:textId="77777777" w:rsidTr="4DDF7455">
        <w:trPr>
          <w:trHeight w:val="300"/>
        </w:trPr>
        <w:tc>
          <w:tcPr>
            <w:tcW w:w="3350" w:type="dxa"/>
          </w:tcPr>
          <w:p w14:paraId="34550965" w14:textId="77777777" w:rsidR="005B6649" w:rsidRDefault="005B6649" w:rsidP="002C3A25">
            <w:r>
              <w:t>High School Diploma/GED</w:t>
            </w:r>
          </w:p>
        </w:tc>
        <w:tc>
          <w:tcPr>
            <w:tcW w:w="1733" w:type="dxa"/>
          </w:tcPr>
          <w:p w14:paraId="3D564401" w14:textId="77777777" w:rsidR="005B6649" w:rsidRDefault="005B6649" w:rsidP="002C3A25">
            <w:pPr>
              <w:jc w:val="center"/>
            </w:pPr>
            <w:r>
              <w:t>35%</w:t>
            </w:r>
          </w:p>
        </w:tc>
        <w:tc>
          <w:tcPr>
            <w:tcW w:w="1732" w:type="dxa"/>
          </w:tcPr>
          <w:p w14:paraId="317BABD0" w14:textId="77777777" w:rsidR="005B6649" w:rsidRDefault="005B6649" w:rsidP="002C3A25">
            <w:pPr>
              <w:jc w:val="center"/>
            </w:pPr>
            <w:r>
              <w:t>35%</w:t>
            </w:r>
          </w:p>
        </w:tc>
        <w:tc>
          <w:tcPr>
            <w:tcW w:w="2073" w:type="dxa"/>
          </w:tcPr>
          <w:p w14:paraId="707B0F0B" w14:textId="77777777" w:rsidR="005B6649" w:rsidRDefault="005B6649" w:rsidP="002C3A25">
            <w:pPr>
              <w:jc w:val="center"/>
            </w:pPr>
            <w:r>
              <w:t>31%</w:t>
            </w:r>
          </w:p>
        </w:tc>
        <w:tc>
          <w:tcPr>
            <w:tcW w:w="1530" w:type="dxa"/>
          </w:tcPr>
          <w:p w14:paraId="3BFD19F3" w14:textId="77777777" w:rsidR="005B6649" w:rsidRDefault="005B6649" w:rsidP="002C3A25">
            <w:pPr>
              <w:jc w:val="center"/>
            </w:pPr>
            <w:r>
              <w:t>75.0 (48)</w:t>
            </w:r>
          </w:p>
        </w:tc>
      </w:tr>
      <w:tr w:rsidR="005B6649" w14:paraId="6B3850C1" w14:textId="77777777" w:rsidTr="4DDF7455">
        <w:trPr>
          <w:trHeight w:val="300"/>
        </w:trPr>
        <w:tc>
          <w:tcPr>
            <w:tcW w:w="3350" w:type="dxa"/>
          </w:tcPr>
          <w:p w14:paraId="65F7FFB1" w14:textId="77777777" w:rsidR="005B6649" w:rsidRDefault="005B6649" w:rsidP="002C3A25">
            <w:r>
              <w:t>Vocational School Diploma/Cert</w:t>
            </w:r>
          </w:p>
        </w:tc>
        <w:tc>
          <w:tcPr>
            <w:tcW w:w="1733" w:type="dxa"/>
          </w:tcPr>
          <w:p w14:paraId="76191D83" w14:textId="77777777" w:rsidR="005B6649" w:rsidRDefault="005B6649" w:rsidP="002C3A25">
            <w:pPr>
              <w:jc w:val="center"/>
            </w:pPr>
            <w:r>
              <w:t>13%</w:t>
            </w:r>
          </w:p>
        </w:tc>
        <w:tc>
          <w:tcPr>
            <w:tcW w:w="1732" w:type="dxa"/>
          </w:tcPr>
          <w:p w14:paraId="3C8E203A" w14:textId="77777777" w:rsidR="005B6649" w:rsidRDefault="005B6649" w:rsidP="002C3A25">
            <w:pPr>
              <w:jc w:val="center"/>
            </w:pPr>
            <w:r>
              <w:t>13%</w:t>
            </w:r>
          </w:p>
        </w:tc>
        <w:tc>
          <w:tcPr>
            <w:tcW w:w="2073" w:type="dxa"/>
          </w:tcPr>
          <w:p w14:paraId="337731CE" w14:textId="77777777" w:rsidR="005B6649" w:rsidRDefault="005B6649" w:rsidP="002C3A25">
            <w:pPr>
              <w:jc w:val="center"/>
            </w:pPr>
            <w:r>
              <w:t>12%</w:t>
            </w:r>
          </w:p>
        </w:tc>
        <w:tc>
          <w:tcPr>
            <w:tcW w:w="1530" w:type="dxa"/>
          </w:tcPr>
          <w:p w14:paraId="7EBE726A" w14:textId="77777777" w:rsidR="005B6649" w:rsidRDefault="005B6649" w:rsidP="002C3A25">
            <w:pPr>
              <w:jc w:val="center"/>
            </w:pPr>
            <w:r>
              <w:t>72.4 (20)</w:t>
            </w:r>
          </w:p>
        </w:tc>
      </w:tr>
      <w:tr w:rsidR="005B6649" w14:paraId="0A9C08A4" w14:textId="77777777" w:rsidTr="4DDF7455">
        <w:trPr>
          <w:trHeight w:val="300"/>
        </w:trPr>
        <w:tc>
          <w:tcPr>
            <w:tcW w:w="3350" w:type="dxa"/>
          </w:tcPr>
          <w:p w14:paraId="6A7EECE1" w14:textId="77777777" w:rsidR="005B6649" w:rsidRDefault="005B6649" w:rsidP="002C3A25">
            <w:r>
              <w:t>Associate’s Degree</w:t>
            </w:r>
          </w:p>
        </w:tc>
        <w:tc>
          <w:tcPr>
            <w:tcW w:w="1733" w:type="dxa"/>
          </w:tcPr>
          <w:p w14:paraId="22525BD1" w14:textId="77777777" w:rsidR="005B6649" w:rsidRDefault="005B6649" w:rsidP="002C3A25">
            <w:pPr>
              <w:jc w:val="center"/>
            </w:pPr>
            <w:r>
              <w:t>6%</w:t>
            </w:r>
          </w:p>
        </w:tc>
        <w:tc>
          <w:tcPr>
            <w:tcW w:w="1732" w:type="dxa"/>
          </w:tcPr>
          <w:p w14:paraId="4C991FDD" w14:textId="77777777" w:rsidR="005B6649" w:rsidRDefault="005B6649" w:rsidP="002C3A25">
            <w:pPr>
              <w:jc w:val="center"/>
            </w:pPr>
            <w:r>
              <w:t>6%</w:t>
            </w:r>
          </w:p>
        </w:tc>
        <w:tc>
          <w:tcPr>
            <w:tcW w:w="2073" w:type="dxa"/>
          </w:tcPr>
          <w:p w14:paraId="2968514E" w14:textId="77777777" w:rsidR="005B6649" w:rsidRDefault="005B6649" w:rsidP="002C3A25">
            <w:pPr>
              <w:jc w:val="center"/>
            </w:pPr>
            <w:r>
              <w:t>8%</w:t>
            </w:r>
          </w:p>
        </w:tc>
        <w:tc>
          <w:tcPr>
            <w:tcW w:w="1530" w:type="dxa"/>
          </w:tcPr>
          <w:p w14:paraId="2203E605" w14:textId="77777777" w:rsidR="005B6649" w:rsidRDefault="005B6649" w:rsidP="002C3A25">
            <w:pPr>
              <w:jc w:val="center"/>
            </w:pPr>
            <w:r>
              <w:t>73.1 (12)</w:t>
            </w:r>
          </w:p>
        </w:tc>
      </w:tr>
      <w:tr w:rsidR="005B6649" w14:paraId="60917BA3" w14:textId="77777777" w:rsidTr="4DDF7455">
        <w:trPr>
          <w:trHeight w:val="300"/>
        </w:trPr>
        <w:tc>
          <w:tcPr>
            <w:tcW w:w="3350" w:type="dxa"/>
          </w:tcPr>
          <w:p w14:paraId="1F041F3F" w14:textId="77777777" w:rsidR="005B6649" w:rsidRDefault="005B6649" w:rsidP="002C3A25">
            <w:r>
              <w:t>Bachelor’s Degree</w:t>
            </w:r>
          </w:p>
        </w:tc>
        <w:tc>
          <w:tcPr>
            <w:tcW w:w="1733" w:type="dxa"/>
          </w:tcPr>
          <w:p w14:paraId="7C2F790B" w14:textId="77777777" w:rsidR="005B6649" w:rsidRDefault="005B6649" w:rsidP="002C3A25">
            <w:pPr>
              <w:jc w:val="center"/>
            </w:pPr>
            <w:r>
              <w:t>15%</w:t>
            </w:r>
          </w:p>
        </w:tc>
        <w:tc>
          <w:tcPr>
            <w:tcW w:w="1732" w:type="dxa"/>
          </w:tcPr>
          <w:p w14:paraId="44438DF0" w14:textId="77777777" w:rsidR="005B6649" w:rsidRDefault="005B6649" w:rsidP="002C3A25">
            <w:pPr>
              <w:jc w:val="center"/>
            </w:pPr>
            <w:r>
              <w:t>15%</w:t>
            </w:r>
          </w:p>
        </w:tc>
        <w:tc>
          <w:tcPr>
            <w:tcW w:w="2073" w:type="dxa"/>
          </w:tcPr>
          <w:p w14:paraId="6EA8FC3D" w14:textId="77777777" w:rsidR="005B6649" w:rsidRDefault="005B6649" w:rsidP="002C3A25">
            <w:pPr>
              <w:jc w:val="center"/>
            </w:pPr>
            <w:r>
              <w:t>16%</w:t>
            </w:r>
          </w:p>
        </w:tc>
        <w:tc>
          <w:tcPr>
            <w:tcW w:w="1530" w:type="dxa"/>
          </w:tcPr>
          <w:p w14:paraId="63E19802" w14:textId="77777777" w:rsidR="005B6649" w:rsidRDefault="005B6649" w:rsidP="002C3A25">
            <w:pPr>
              <w:jc w:val="center"/>
            </w:pPr>
            <w:r>
              <w:t>84.5 (25)</w:t>
            </w:r>
          </w:p>
        </w:tc>
      </w:tr>
      <w:tr w:rsidR="005B6649" w14:paraId="715C8C7B" w14:textId="77777777" w:rsidTr="4DDF7455">
        <w:trPr>
          <w:trHeight w:val="300"/>
        </w:trPr>
        <w:tc>
          <w:tcPr>
            <w:tcW w:w="3350" w:type="dxa"/>
          </w:tcPr>
          <w:p w14:paraId="4841002B" w14:textId="77777777" w:rsidR="005B6649" w:rsidRDefault="005B6649" w:rsidP="002C3A25">
            <w:r>
              <w:t xml:space="preserve">Grad School/Other </w:t>
            </w:r>
            <w:proofErr w:type="spellStart"/>
            <w:r>
              <w:t>PostSec</w:t>
            </w:r>
            <w:proofErr w:type="spellEnd"/>
            <w:r>
              <w:t xml:space="preserve"> License</w:t>
            </w:r>
          </w:p>
        </w:tc>
        <w:tc>
          <w:tcPr>
            <w:tcW w:w="1733" w:type="dxa"/>
          </w:tcPr>
          <w:p w14:paraId="00B0574E" w14:textId="77777777" w:rsidR="005B6649" w:rsidRDefault="005B6649" w:rsidP="002C3A25">
            <w:pPr>
              <w:jc w:val="center"/>
            </w:pPr>
            <w:r>
              <w:t>11%</w:t>
            </w:r>
          </w:p>
        </w:tc>
        <w:tc>
          <w:tcPr>
            <w:tcW w:w="1732" w:type="dxa"/>
          </w:tcPr>
          <w:p w14:paraId="0811EB1C" w14:textId="77777777" w:rsidR="005B6649" w:rsidRDefault="005B6649" w:rsidP="002C3A25">
            <w:pPr>
              <w:jc w:val="center"/>
            </w:pPr>
            <w:r>
              <w:t>11%</w:t>
            </w:r>
          </w:p>
        </w:tc>
        <w:tc>
          <w:tcPr>
            <w:tcW w:w="2073" w:type="dxa"/>
          </w:tcPr>
          <w:p w14:paraId="32754540" w14:textId="77777777" w:rsidR="005B6649" w:rsidRDefault="005B6649" w:rsidP="002C3A25">
            <w:pPr>
              <w:jc w:val="center"/>
            </w:pPr>
            <w:r>
              <w:t>15%</w:t>
            </w:r>
          </w:p>
        </w:tc>
        <w:tc>
          <w:tcPr>
            <w:tcW w:w="1530" w:type="dxa"/>
          </w:tcPr>
          <w:p w14:paraId="57EE7071" w14:textId="77777777" w:rsidR="005B6649" w:rsidRDefault="005B6649" w:rsidP="002C3A25">
            <w:pPr>
              <w:jc w:val="center"/>
            </w:pPr>
            <w:r>
              <w:t>64.0 (27)</w:t>
            </w:r>
          </w:p>
        </w:tc>
      </w:tr>
      <w:tr w:rsidR="005B6649" w14:paraId="49B20EF7" w14:textId="77777777" w:rsidTr="4DDF7455">
        <w:trPr>
          <w:trHeight w:val="300"/>
        </w:trPr>
        <w:tc>
          <w:tcPr>
            <w:tcW w:w="3350" w:type="dxa"/>
          </w:tcPr>
          <w:p w14:paraId="068642B9" w14:textId="77777777" w:rsidR="005B6649" w:rsidRDefault="005B6649" w:rsidP="002C3A25">
            <w:r>
              <w:t>Did not identify</w:t>
            </w:r>
          </w:p>
        </w:tc>
        <w:tc>
          <w:tcPr>
            <w:tcW w:w="1733" w:type="dxa"/>
          </w:tcPr>
          <w:p w14:paraId="67BA6662" w14:textId="77777777" w:rsidR="005B6649" w:rsidRDefault="005B6649" w:rsidP="002C3A25">
            <w:pPr>
              <w:jc w:val="center"/>
            </w:pPr>
            <w:r>
              <w:t>&lt;1%</w:t>
            </w:r>
          </w:p>
        </w:tc>
        <w:tc>
          <w:tcPr>
            <w:tcW w:w="1732" w:type="dxa"/>
          </w:tcPr>
          <w:p w14:paraId="74F699C3" w14:textId="77777777" w:rsidR="005B6649" w:rsidRDefault="005B6649" w:rsidP="002C3A25">
            <w:pPr>
              <w:jc w:val="center"/>
            </w:pPr>
            <w:r>
              <w:t>&lt;1%</w:t>
            </w:r>
          </w:p>
        </w:tc>
        <w:tc>
          <w:tcPr>
            <w:tcW w:w="2073" w:type="dxa"/>
          </w:tcPr>
          <w:p w14:paraId="3375B7B7" w14:textId="77777777" w:rsidR="005B6649" w:rsidRDefault="005B6649" w:rsidP="002C3A25">
            <w:pPr>
              <w:jc w:val="center"/>
            </w:pPr>
            <w:r>
              <w:t>1%</w:t>
            </w:r>
          </w:p>
        </w:tc>
        <w:tc>
          <w:tcPr>
            <w:tcW w:w="1530" w:type="dxa"/>
          </w:tcPr>
          <w:p w14:paraId="4615B448" w14:textId="77777777" w:rsidR="005B6649" w:rsidRDefault="005B6649" w:rsidP="002C3A25">
            <w:pPr>
              <w:jc w:val="center"/>
            </w:pPr>
            <w:r>
              <w:t>--</w:t>
            </w:r>
          </w:p>
        </w:tc>
      </w:tr>
    </w:tbl>
    <w:p w14:paraId="4FE4150D" w14:textId="77777777" w:rsidR="005B6649" w:rsidRPr="00A72898" w:rsidRDefault="005B6649" w:rsidP="00886436">
      <w:pPr>
        <w:rPr>
          <w:rFonts w:eastAsiaTheme="minorEastAsia"/>
        </w:rPr>
      </w:pPr>
    </w:p>
    <w:p w14:paraId="3A817C88" w14:textId="65278063" w:rsidR="00933EAF" w:rsidRDefault="00933EAF" w:rsidP="333B87A2">
      <w:pPr>
        <w:rPr>
          <w:rFonts w:eastAsiaTheme="minorEastAsia"/>
        </w:rPr>
      </w:pPr>
    </w:p>
    <w:p w14:paraId="7258A970" w14:textId="098067B7" w:rsidR="00F648C0" w:rsidRDefault="00243BEC" w:rsidP="00E46B2B">
      <w:pPr>
        <w:spacing w:after="60"/>
        <w:rPr>
          <w:rFonts w:eastAsiaTheme="minorEastAsia"/>
        </w:rPr>
      </w:pPr>
      <w:r>
        <w:rPr>
          <w:rFonts w:eastAsiaTheme="minorEastAsia"/>
        </w:rPr>
        <w:t xml:space="preserve">In an effort to </w:t>
      </w:r>
      <w:r w:rsidR="003E2335">
        <w:rPr>
          <w:rFonts w:eastAsiaTheme="minorEastAsia"/>
        </w:rPr>
        <w:t xml:space="preserve">understand </w:t>
      </w:r>
      <w:r w:rsidR="00D01BEB">
        <w:rPr>
          <w:rFonts w:eastAsiaTheme="minorEastAsia"/>
        </w:rPr>
        <w:t>where</w:t>
      </w:r>
      <w:r w:rsidR="00215F30">
        <w:rPr>
          <w:rFonts w:eastAsiaTheme="minorEastAsia"/>
        </w:rPr>
        <w:t xml:space="preserve"> there are </w:t>
      </w:r>
      <w:r w:rsidR="009A12F8">
        <w:rPr>
          <w:rFonts w:eastAsiaTheme="minorEastAsia"/>
        </w:rPr>
        <w:t>areas of racial dispar</w:t>
      </w:r>
      <w:r w:rsidR="00841E22">
        <w:rPr>
          <w:rFonts w:eastAsiaTheme="minorEastAsia"/>
        </w:rPr>
        <w:t>ities</w:t>
      </w:r>
      <w:r w:rsidR="004C4661">
        <w:rPr>
          <w:rFonts w:eastAsiaTheme="minorEastAsia"/>
        </w:rPr>
        <w:t xml:space="preserve"> within</w:t>
      </w:r>
      <w:r w:rsidR="00793CE5">
        <w:rPr>
          <w:rFonts w:eastAsiaTheme="minorEastAsia"/>
        </w:rPr>
        <w:t xml:space="preserve"> </w:t>
      </w:r>
      <w:r w:rsidR="00554016">
        <w:rPr>
          <w:rFonts w:eastAsiaTheme="minorEastAsia"/>
        </w:rPr>
        <w:t>the customers SSB serves</w:t>
      </w:r>
      <w:r w:rsidR="00661F8A">
        <w:rPr>
          <w:rFonts w:eastAsiaTheme="minorEastAsia"/>
        </w:rPr>
        <w:t>,</w:t>
      </w:r>
      <w:r w:rsidR="00841E22">
        <w:rPr>
          <w:rFonts w:eastAsiaTheme="minorEastAsia"/>
        </w:rPr>
        <w:t xml:space="preserve"> </w:t>
      </w:r>
      <w:r w:rsidR="00661F8A">
        <w:rPr>
          <w:rFonts w:eastAsiaTheme="minorEastAsia"/>
        </w:rPr>
        <w:t>a</w:t>
      </w:r>
      <w:r w:rsidR="00FF3E57">
        <w:rPr>
          <w:rFonts w:eastAsiaTheme="minorEastAsia"/>
        </w:rPr>
        <w:t xml:space="preserve">n </w:t>
      </w:r>
      <w:r w:rsidR="007A6660">
        <w:rPr>
          <w:rFonts w:eastAsiaTheme="minorEastAsia"/>
        </w:rPr>
        <w:t xml:space="preserve">analysis was conducted by </w:t>
      </w:r>
      <w:r w:rsidR="231FFF58" w:rsidRPr="333B87A2">
        <w:rPr>
          <w:rFonts w:eastAsiaTheme="minorEastAsia"/>
        </w:rPr>
        <w:t>our data analyst consultant</w:t>
      </w:r>
      <w:r w:rsidR="00DE1A93">
        <w:rPr>
          <w:rFonts w:eastAsiaTheme="minorEastAsia"/>
        </w:rPr>
        <w:t>,</w:t>
      </w:r>
      <w:r w:rsidR="231FFF58" w:rsidRPr="333B87A2">
        <w:rPr>
          <w:rFonts w:eastAsiaTheme="minorEastAsia"/>
        </w:rPr>
        <w:t xml:space="preserve"> </w:t>
      </w:r>
      <w:r w:rsidR="00987688">
        <w:rPr>
          <w:rFonts w:eastAsiaTheme="minorEastAsia"/>
        </w:rPr>
        <w:t>Michael Prideaux</w:t>
      </w:r>
      <w:r w:rsidR="00DE1A93">
        <w:rPr>
          <w:rFonts w:eastAsiaTheme="minorEastAsia"/>
        </w:rPr>
        <w:t>,</w:t>
      </w:r>
      <w:r w:rsidR="00987688">
        <w:rPr>
          <w:rFonts w:eastAsiaTheme="minorEastAsia"/>
        </w:rPr>
        <w:t xml:space="preserve"> </w:t>
      </w:r>
      <w:r w:rsidR="231FFF58" w:rsidRPr="333B87A2">
        <w:rPr>
          <w:rFonts w:eastAsiaTheme="minorEastAsia"/>
        </w:rPr>
        <w:t xml:space="preserve">in </w:t>
      </w:r>
      <w:r w:rsidR="009E5D75">
        <w:rPr>
          <w:rFonts w:eastAsiaTheme="minorEastAsia"/>
        </w:rPr>
        <w:t xml:space="preserve">early </w:t>
      </w:r>
      <w:r w:rsidR="231FFF58" w:rsidRPr="333B87A2">
        <w:rPr>
          <w:rFonts w:eastAsiaTheme="minorEastAsia"/>
        </w:rPr>
        <w:t>October</w:t>
      </w:r>
      <w:r w:rsidR="009E5D75">
        <w:rPr>
          <w:rFonts w:eastAsiaTheme="minorEastAsia"/>
        </w:rPr>
        <w:t xml:space="preserve"> 2023</w:t>
      </w:r>
      <w:r w:rsidR="231FFF58" w:rsidRPr="333B87A2">
        <w:rPr>
          <w:rFonts w:eastAsiaTheme="minorEastAsia"/>
        </w:rPr>
        <w:t xml:space="preserve">. The </w:t>
      </w:r>
      <w:r w:rsidR="00B91023">
        <w:rPr>
          <w:rFonts w:eastAsiaTheme="minorEastAsia"/>
        </w:rPr>
        <w:t xml:space="preserve">analysis </w:t>
      </w:r>
      <w:r w:rsidR="005C1A67">
        <w:rPr>
          <w:rFonts w:eastAsiaTheme="minorEastAsia"/>
        </w:rPr>
        <w:t xml:space="preserve">examines a series of T Tests to </w:t>
      </w:r>
      <w:r w:rsidR="003E5594">
        <w:rPr>
          <w:rFonts w:eastAsiaTheme="minorEastAsia"/>
        </w:rPr>
        <w:t>determine if the d</w:t>
      </w:r>
      <w:r w:rsidR="00D67C82">
        <w:rPr>
          <w:rFonts w:eastAsiaTheme="minorEastAsia"/>
        </w:rPr>
        <w:t>ifference between groups is statis</w:t>
      </w:r>
      <w:r w:rsidR="00B429B9">
        <w:rPr>
          <w:rFonts w:eastAsiaTheme="minorEastAsia"/>
        </w:rPr>
        <w:t xml:space="preserve">tically </w:t>
      </w:r>
      <w:r w:rsidR="00EF6A94">
        <w:rPr>
          <w:rFonts w:eastAsiaTheme="minorEastAsia"/>
        </w:rPr>
        <w:t>significant</w:t>
      </w:r>
      <w:r w:rsidR="00B429B9">
        <w:rPr>
          <w:rFonts w:eastAsiaTheme="minorEastAsia"/>
        </w:rPr>
        <w:t xml:space="preserve">. </w:t>
      </w:r>
      <w:r w:rsidR="006D16F1">
        <w:rPr>
          <w:rFonts w:eastAsiaTheme="minorEastAsia"/>
        </w:rPr>
        <w:t>The factors ex</w:t>
      </w:r>
      <w:r w:rsidR="00E630C2">
        <w:rPr>
          <w:rFonts w:eastAsiaTheme="minorEastAsia"/>
        </w:rPr>
        <w:t xml:space="preserve">amined were </w:t>
      </w:r>
      <w:r w:rsidR="00F2416C">
        <w:rPr>
          <w:rFonts w:eastAsiaTheme="minorEastAsia"/>
        </w:rPr>
        <w:t>the</w:t>
      </w:r>
      <w:r w:rsidR="231FFF58" w:rsidRPr="333B87A2">
        <w:rPr>
          <w:rFonts w:eastAsiaTheme="minorEastAsia"/>
        </w:rPr>
        <w:t xml:space="preserve"> </w:t>
      </w:r>
      <w:r w:rsidR="00B921F1">
        <w:rPr>
          <w:rFonts w:eastAsiaTheme="minorEastAsia"/>
        </w:rPr>
        <w:t xml:space="preserve">percent </w:t>
      </w:r>
      <w:r w:rsidR="231FFF58" w:rsidRPr="333B87A2">
        <w:rPr>
          <w:rFonts w:eastAsiaTheme="minorEastAsia"/>
        </w:rPr>
        <w:t>exit</w:t>
      </w:r>
      <w:r w:rsidR="00E64CBC">
        <w:rPr>
          <w:rFonts w:eastAsiaTheme="minorEastAsia"/>
        </w:rPr>
        <w:t>ing</w:t>
      </w:r>
      <w:r w:rsidR="007F2BF0">
        <w:rPr>
          <w:rFonts w:eastAsiaTheme="minorEastAsia"/>
        </w:rPr>
        <w:t xml:space="preserve"> successfully</w:t>
      </w:r>
      <w:r w:rsidR="00286F88">
        <w:rPr>
          <w:rFonts w:eastAsiaTheme="minorEastAsia"/>
        </w:rPr>
        <w:t xml:space="preserve">, </w:t>
      </w:r>
      <w:r w:rsidR="00D03925">
        <w:rPr>
          <w:rFonts w:eastAsiaTheme="minorEastAsia"/>
        </w:rPr>
        <w:t>exiting</w:t>
      </w:r>
      <w:r w:rsidR="00436B2D">
        <w:rPr>
          <w:rFonts w:eastAsiaTheme="minorEastAsia"/>
        </w:rPr>
        <w:t xml:space="preserve"> </w:t>
      </w:r>
      <w:r w:rsidR="231FFF58" w:rsidRPr="333B87A2">
        <w:rPr>
          <w:rFonts w:eastAsiaTheme="minorEastAsia"/>
        </w:rPr>
        <w:t xml:space="preserve">unable to locate, </w:t>
      </w:r>
      <w:r w:rsidR="00E630C2">
        <w:rPr>
          <w:rFonts w:eastAsiaTheme="minorEastAsia"/>
        </w:rPr>
        <w:t xml:space="preserve">and the </w:t>
      </w:r>
      <w:r w:rsidR="231FFF58" w:rsidRPr="333B87A2">
        <w:rPr>
          <w:rFonts w:eastAsiaTheme="minorEastAsia"/>
        </w:rPr>
        <w:t>wage</w:t>
      </w:r>
      <w:r w:rsidR="00BB6E4E">
        <w:rPr>
          <w:rFonts w:eastAsiaTheme="minorEastAsia"/>
        </w:rPr>
        <w:t xml:space="preserve"> at exit</w:t>
      </w:r>
      <w:r w:rsidR="231FFF58" w:rsidRPr="333B87A2">
        <w:rPr>
          <w:rFonts w:eastAsiaTheme="minorEastAsia"/>
        </w:rPr>
        <w:t>.</w:t>
      </w:r>
      <w:r w:rsidR="00517092">
        <w:rPr>
          <w:rFonts w:eastAsiaTheme="minorEastAsia"/>
        </w:rPr>
        <w:t xml:space="preserve"> The analysis</w:t>
      </w:r>
      <w:r w:rsidR="00DD1F7D">
        <w:rPr>
          <w:rFonts w:eastAsiaTheme="minorEastAsia"/>
        </w:rPr>
        <w:t xml:space="preserve"> </w:t>
      </w:r>
      <w:r w:rsidR="009639C2">
        <w:rPr>
          <w:rFonts w:eastAsiaTheme="minorEastAsia"/>
        </w:rPr>
        <w:t>included dat</w:t>
      </w:r>
      <w:r w:rsidR="00B67428">
        <w:rPr>
          <w:rFonts w:eastAsiaTheme="minorEastAsia"/>
        </w:rPr>
        <w:t>a</w:t>
      </w:r>
      <w:r w:rsidR="003B74E2">
        <w:rPr>
          <w:rFonts w:eastAsiaTheme="minorEastAsia"/>
        </w:rPr>
        <w:t xml:space="preserve"> </w:t>
      </w:r>
      <w:r w:rsidR="00345AEF">
        <w:rPr>
          <w:rFonts w:eastAsiaTheme="minorEastAsia"/>
        </w:rPr>
        <w:t>on participants served in</w:t>
      </w:r>
      <w:r w:rsidR="009639C2">
        <w:rPr>
          <w:rFonts w:eastAsiaTheme="minorEastAsia"/>
        </w:rPr>
        <w:t xml:space="preserve"> </w:t>
      </w:r>
      <w:r w:rsidR="00345AEF">
        <w:rPr>
          <w:rFonts w:eastAsiaTheme="minorEastAsia"/>
        </w:rPr>
        <w:t xml:space="preserve">PY </w:t>
      </w:r>
      <w:r w:rsidR="003075BF">
        <w:rPr>
          <w:rFonts w:eastAsiaTheme="minorEastAsia"/>
        </w:rPr>
        <w:t>2021</w:t>
      </w:r>
      <w:r w:rsidR="00E64378">
        <w:rPr>
          <w:rFonts w:eastAsiaTheme="minorEastAsia"/>
        </w:rPr>
        <w:t xml:space="preserve"> and 2022</w:t>
      </w:r>
      <w:r w:rsidR="008D5841">
        <w:rPr>
          <w:rFonts w:eastAsiaTheme="minorEastAsia"/>
        </w:rPr>
        <w:t xml:space="preserve"> </w:t>
      </w:r>
      <w:r w:rsidR="00F648C0">
        <w:rPr>
          <w:rFonts w:eastAsiaTheme="minorEastAsia"/>
        </w:rPr>
        <w:t>for the following</w:t>
      </w:r>
      <w:r w:rsidR="008D5841">
        <w:rPr>
          <w:rFonts w:eastAsiaTheme="minorEastAsia"/>
        </w:rPr>
        <w:t xml:space="preserve"> </w:t>
      </w:r>
      <w:r w:rsidR="00345AEF">
        <w:rPr>
          <w:rFonts w:eastAsiaTheme="minorEastAsia"/>
        </w:rPr>
        <w:t>pairs</w:t>
      </w:r>
      <w:r w:rsidR="00F648C0">
        <w:rPr>
          <w:rFonts w:eastAsiaTheme="minorEastAsia"/>
        </w:rPr>
        <w:t>:</w:t>
      </w:r>
    </w:p>
    <w:p w14:paraId="59CE4E08" w14:textId="77777777" w:rsidR="00E63F0E" w:rsidRPr="00E63F0E" w:rsidRDefault="00E63F0E" w:rsidP="00E63F0E">
      <w:pPr>
        <w:numPr>
          <w:ilvl w:val="0"/>
          <w:numId w:val="75"/>
        </w:numPr>
        <w:rPr>
          <w:rFonts w:eastAsiaTheme="minorEastAsia"/>
          <w:lang w:bidi="en-US"/>
        </w:rPr>
      </w:pPr>
      <w:r w:rsidRPr="00E63F0E">
        <w:rPr>
          <w:rFonts w:eastAsiaTheme="minorEastAsia"/>
          <w:lang w:bidi="en-US"/>
        </w:rPr>
        <w:t>Black-White</w:t>
      </w:r>
    </w:p>
    <w:p w14:paraId="5A94782C" w14:textId="77777777" w:rsidR="00E63F0E" w:rsidRPr="00E63F0E" w:rsidRDefault="00E63F0E" w:rsidP="00E63F0E">
      <w:pPr>
        <w:numPr>
          <w:ilvl w:val="0"/>
          <w:numId w:val="75"/>
        </w:numPr>
        <w:rPr>
          <w:rFonts w:eastAsiaTheme="minorEastAsia"/>
          <w:lang w:bidi="en-US"/>
        </w:rPr>
      </w:pPr>
      <w:r w:rsidRPr="00E63F0E">
        <w:rPr>
          <w:rFonts w:eastAsiaTheme="minorEastAsia"/>
          <w:lang w:bidi="en-US"/>
        </w:rPr>
        <w:t>Asian-White</w:t>
      </w:r>
    </w:p>
    <w:p w14:paraId="0CD32613" w14:textId="77777777" w:rsidR="00E63F0E" w:rsidRPr="00E63F0E" w:rsidRDefault="00E63F0E" w:rsidP="00E63F0E">
      <w:pPr>
        <w:numPr>
          <w:ilvl w:val="0"/>
          <w:numId w:val="75"/>
        </w:numPr>
        <w:rPr>
          <w:rFonts w:eastAsiaTheme="minorEastAsia"/>
          <w:lang w:bidi="en-US"/>
        </w:rPr>
      </w:pPr>
      <w:r w:rsidRPr="00E63F0E">
        <w:rPr>
          <w:rFonts w:eastAsiaTheme="minorEastAsia"/>
          <w:lang w:bidi="en-US"/>
        </w:rPr>
        <w:t>Hispanic/Latinx-White</w:t>
      </w:r>
    </w:p>
    <w:p w14:paraId="1B686492" w14:textId="77777777" w:rsidR="00E63F0E" w:rsidRPr="00E63F0E" w:rsidRDefault="00E63F0E" w:rsidP="00E63F0E">
      <w:pPr>
        <w:numPr>
          <w:ilvl w:val="0"/>
          <w:numId w:val="75"/>
        </w:numPr>
        <w:rPr>
          <w:rFonts w:eastAsiaTheme="minorEastAsia"/>
          <w:lang w:bidi="en-US"/>
        </w:rPr>
      </w:pPr>
      <w:r w:rsidRPr="00E63F0E">
        <w:rPr>
          <w:rFonts w:eastAsiaTheme="minorEastAsia"/>
          <w:lang w:bidi="en-US"/>
        </w:rPr>
        <w:t>Native American/Alaska Native-White</w:t>
      </w:r>
    </w:p>
    <w:p w14:paraId="7ABF6E9E" w14:textId="49EB1C3F" w:rsidR="0051567C" w:rsidRDefault="00E63F0E" w:rsidP="00E63F0E">
      <w:pPr>
        <w:pStyle w:val="ListParagraph"/>
        <w:numPr>
          <w:ilvl w:val="0"/>
          <w:numId w:val="75"/>
        </w:numPr>
        <w:rPr>
          <w:rFonts w:eastAsiaTheme="minorEastAsia"/>
        </w:rPr>
      </w:pPr>
      <w:r w:rsidRPr="00E63F0E">
        <w:rPr>
          <w:rFonts w:eastAsiaTheme="minorEastAsia"/>
        </w:rPr>
        <w:t>Asian/Pacific Islander-White</w:t>
      </w:r>
    </w:p>
    <w:p w14:paraId="0F3ADCA0" w14:textId="6B13603D" w:rsidR="00E63F0E" w:rsidRDefault="00E63F0E" w:rsidP="00E63F0E">
      <w:pPr>
        <w:pStyle w:val="ListParagraph"/>
        <w:numPr>
          <w:ilvl w:val="0"/>
          <w:numId w:val="75"/>
        </w:numPr>
        <w:rPr>
          <w:rFonts w:eastAsiaTheme="minorEastAsia"/>
        </w:rPr>
      </w:pPr>
      <w:r>
        <w:rPr>
          <w:rFonts w:eastAsiaTheme="minorEastAsia"/>
        </w:rPr>
        <w:t>Multiracial-White</w:t>
      </w:r>
    </w:p>
    <w:p w14:paraId="3ADF1D9B" w14:textId="13C8602C" w:rsidR="00E63F0E" w:rsidRDefault="00E63F0E" w:rsidP="00E63F0E">
      <w:pPr>
        <w:pStyle w:val="ListParagraph"/>
        <w:numPr>
          <w:ilvl w:val="0"/>
          <w:numId w:val="75"/>
        </w:numPr>
        <w:rPr>
          <w:rFonts w:eastAsiaTheme="minorEastAsia"/>
        </w:rPr>
      </w:pPr>
      <w:r>
        <w:rPr>
          <w:rFonts w:eastAsiaTheme="minorEastAsia"/>
        </w:rPr>
        <w:t>Black, Indigenous, People of Color (BIPOC)</w:t>
      </w:r>
      <w:r w:rsidR="000C6020">
        <w:rPr>
          <w:rFonts w:eastAsiaTheme="minorEastAsia"/>
        </w:rPr>
        <w:t>-White</w:t>
      </w:r>
    </w:p>
    <w:p w14:paraId="66B8110D" w14:textId="1315A5ED" w:rsidR="000C6020" w:rsidRPr="00E63F0E" w:rsidRDefault="000C6020" w:rsidP="00E63F0E">
      <w:pPr>
        <w:pStyle w:val="ListParagraph"/>
        <w:numPr>
          <w:ilvl w:val="0"/>
          <w:numId w:val="75"/>
        </w:numPr>
        <w:rPr>
          <w:rFonts w:eastAsiaTheme="minorEastAsia"/>
        </w:rPr>
      </w:pPr>
      <w:r>
        <w:rPr>
          <w:rFonts w:eastAsiaTheme="minorEastAsia"/>
        </w:rPr>
        <w:t>Female-Male</w:t>
      </w:r>
    </w:p>
    <w:p w14:paraId="30AAD10E" w14:textId="77777777" w:rsidR="0051567C" w:rsidRDefault="0051567C" w:rsidP="333B87A2">
      <w:pPr>
        <w:rPr>
          <w:rFonts w:eastAsiaTheme="minorEastAsia"/>
        </w:rPr>
      </w:pPr>
    </w:p>
    <w:p w14:paraId="06F90E4C" w14:textId="7D35FDB5" w:rsidR="00EF6A94" w:rsidRDefault="00E1633D" w:rsidP="333B87A2">
      <w:pPr>
        <w:rPr>
          <w:rFonts w:eastAsiaTheme="minorEastAsia"/>
        </w:rPr>
      </w:pPr>
      <w:r>
        <w:rPr>
          <w:rFonts w:eastAsiaTheme="minorEastAsia"/>
        </w:rPr>
        <w:t>The analysis</w:t>
      </w:r>
      <w:r w:rsidR="00BF6967">
        <w:rPr>
          <w:rFonts w:eastAsiaTheme="minorEastAsia"/>
        </w:rPr>
        <w:t xml:space="preserve">’s main finding is a statistically significant disparity in the percentage of participants unable to be located between BIPOC participants at large and white participants. This disparity is likely driven by the disparities between </w:t>
      </w:r>
      <w:r w:rsidR="00DE1A93">
        <w:rPr>
          <w:rFonts w:eastAsiaTheme="minorEastAsia"/>
        </w:rPr>
        <w:t xml:space="preserve">black </w:t>
      </w:r>
      <w:r w:rsidR="00BF6967">
        <w:rPr>
          <w:rFonts w:eastAsiaTheme="minorEastAsia"/>
        </w:rPr>
        <w:t xml:space="preserve">and Hispanic participants and their white counterparts. </w:t>
      </w:r>
      <w:r w:rsidR="00ED336C">
        <w:rPr>
          <w:rFonts w:eastAsiaTheme="minorEastAsia"/>
        </w:rPr>
        <w:t xml:space="preserve">Wages had no statistically significant disparities, likely due to sample size and the slight difference </w:t>
      </w:r>
      <w:r w:rsidR="00C77BC2">
        <w:rPr>
          <w:rFonts w:eastAsiaTheme="minorEastAsia"/>
        </w:rPr>
        <w:t xml:space="preserve">in wages at exit. </w:t>
      </w:r>
      <w:r w:rsidR="00D33808">
        <w:rPr>
          <w:rFonts w:eastAsiaTheme="minorEastAsia"/>
        </w:rPr>
        <w:t xml:space="preserve"> </w:t>
      </w:r>
      <w:r w:rsidR="00803B69">
        <w:rPr>
          <w:rFonts w:eastAsiaTheme="minorEastAsia"/>
        </w:rPr>
        <w:t xml:space="preserve">Further </w:t>
      </w:r>
      <w:r w:rsidR="00783C90">
        <w:rPr>
          <w:rFonts w:eastAsiaTheme="minorEastAsia"/>
        </w:rPr>
        <w:t xml:space="preserve">investigation will be needed to determine the causes of the disparity. </w:t>
      </w:r>
      <w:r w:rsidR="004D0A90">
        <w:rPr>
          <w:rFonts w:eastAsiaTheme="minorEastAsia"/>
        </w:rPr>
        <w:t xml:space="preserve"> </w:t>
      </w:r>
      <w:r w:rsidR="00A56D2A">
        <w:rPr>
          <w:rFonts w:eastAsiaTheme="minorEastAsia"/>
        </w:rPr>
        <w:t xml:space="preserve"> </w:t>
      </w:r>
    </w:p>
    <w:p w14:paraId="1D211E46" w14:textId="3E56EC32" w:rsidR="00EA369F" w:rsidRDefault="231FFF58" w:rsidP="333B87A2">
      <w:pPr>
        <w:rPr>
          <w:rFonts w:eastAsiaTheme="minorEastAsia"/>
        </w:rPr>
      </w:pPr>
      <w:r w:rsidRPr="333B87A2">
        <w:rPr>
          <w:rFonts w:eastAsiaTheme="minorEastAsia"/>
        </w:rPr>
        <w:t xml:space="preserve"> </w:t>
      </w:r>
    </w:p>
    <w:p w14:paraId="04054133" w14:textId="29307FEF" w:rsidR="231FFF58" w:rsidRDefault="0043000D" w:rsidP="333B87A2">
      <w:pPr>
        <w:rPr>
          <w:rFonts w:eastAsiaTheme="minorEastAsia"/>
        </w:rPr>
      </w:pPr>
      <w:r>
        <w:rPr>
          <w:rFonts w:eastAsiaTheme="minorEastAsia"/>
        </w:rPr>
        <w:t>SSB is</w:t>
      </w:r>
      <w:r w:rsidR="00466535">
        <w:rPr>
          <w:rFonts w:eastAsiaTheme="minorEastAsia"/>
        </w:rPr>
        <w:t xml:space="preserve"> aware that </w:t>
      </w:r>
      <w:r w:rsidR="00283159">
        <w:rPr>
          <w:rFonts w:eastAsiaTheme="minorEastAsia"/>
        </w:rPr>
        <w:t xml:space="preserve">services for </w:t>
      </w:r>
      <w:r w:rsidR="00952E40">
        <w:rPr>
          <w:rFonts w:eastAsiaTheme="minorEastAsia"/>
        </w:rPr>
        <w:t>new Americans is a</w:t>
      </w:r>
      <w:r w:rsidR="00C20A43">
        <w:rPr>
          <w:rFonts w:eastAsiaTheme="minorEastAsia"/>
        </w:rPr>
        <w:t xml:space="preserve">n area of continued need. </w:t>
      </w:r>
      <w:r w:rsidR="0056568E">
        <w:rPr>
          <w:rFonts w:eastAsiaTheme="minorEastAsia"/>
        </w:rPr>
        <w:t xml:space="preserve">We know that </w:t>
      </w:r>
      <w:r w:rsidR="007D2D57">
        <w:rPr>
          <w:rFonts w:eastAsiaTheme="minorEastAsia"/>
        </w:rPr>
        <w:t xml:space="preserve">outcomes </w:t>
      </w:r>
      <w:r w:rsidR="0036080B">
        <w:rPr>
          <w:rFonts w:eastAsiaTheme="minorEastAsia"/>
        </w:rPr>
        <w:t xml:space="preserve">are not as positive for </w:t>
      </w:r>
      <w:r w:rsidR="000517C6">
        <w:rPr>
          <w:rFonts w:eastAsiaTheme="minorEastAsia"/>
        </w:rPr>
        <w:t>new Americans</w:t>
      </w:r>
      <w:r w:rsidR="00E502FD">
        <w:rPr>
          <w:rFonts w:eastAsiaTheme="minorEastAsia"/>
        </w:rPr>
        <w:t xml:space="preserve"> and there </w:t>
      </w:r>
      <w:r w:rsidR="005439B4">
        <w:rPr>
          <w:rFonts w:eastAsiaTheme="minorEastAsia"/>
        </w:rPr>
        <w:t>is a l</w:t>
      </w:r>
      <w:r w:rsidR="005B4758">
        <w:rPr>
          <w:rFonts w:eastAsiaTheme="minorEastAsia"/>
        </w:rPr>
        <w:t>ack of service providers</w:t>
      </w:r>
      <w:r w:rsidR="00C732ED">
        <w:rPr>
          <w:rFonts w:eastAsiaTheme="minorEastAsia"/>
        </w:rPr>
        <w:t xml:space="preserve"> available to meet the n</w:t>
      </w:r>
      <w:r w:rsidR="009B0077">
        <w:rPr>
          <w:rFonts w:eastAsiaTheme="minorEastAsia"/>
        </w:rPr>
        <w:t>eeds</w:t>
      </w:r>
      <w:r w:rsidR="00FA7500">
        <w:rPr>
          <w:rFonts w:eastAsiaTheme="minorEastAsia"/>
        </w:rPr>
        <w:t>.</w:t>
      </w:r>
      <w:r w:rsidR="000517C6">
        <w:rPr>
          <w:rFonts w:eastAsiaTheme="minorEastAsia"/>
        </w:rPr>
        <w:t xml:space="preserve"> </w:t>
      </w:r>
      <w:r w:rsidR="000000A1">
        <w:rPr>
          <w:rFonts w:eastAsiaTheme="minorEastAsia"/>
        </w:rPr>
        <w:t xml:space="preserve">In line with the </w:t>
      </w:r>
      <w:r w:rsidR="00F867A3">
        <w:rPr>
          <w:rFonts w:eastAsiaTheme="minorEastAsia"/>
        </w:rPr>
        <w:t xml:space="preserve">MN Department of </w:t>
      </w:r>
      <w:r w:rsidR="00CA00D8">
        <w:rPr>
          <w:rFonts w:eastAsiaTheme="minorEastAsia"/>
        </w:rPr>
        <w:t>Employment and Economic Development (DEED)</w:t>
      </w:r>
      <w:r w:rsidR="000000A1">
        <w:rPr>
          <w:rFonts w:eastAsiaTheme="minorEastAsia"/>
        </w:rPr>
        <w:t xml:space="preserve">, SSB </w:t>
      </w:r>
      <w:r w:rsidR="00BF3E19">
        <w:rPr>
          <w:rFonts w:eastAsiaTheme="minorEastAsia"/>
        </w:rPr>
        <w:t>has a</w:t>
      </w:r>
      <w:r w:rsidR="00226DBB">
        <w:rPr>
          <w:rFonts w:eastAsiaTheme="minorEastAsia"/>
        </w:rPr>
        <w:t>n</w:t>
      </w:r>
      <w:r w:rsidR="00BF3E19">
        <w:rPr>
          <w:rFonts w:eastAsiaTheme="minorEastAsia"/>
        </w:rPr>
        <w:t xml:space="preserve"> </w:t>
      </w:r>
      <w:r w:rsidR="00CA00D8">
        <w:rPr>
          <w:rFonts w:eastAsiaTheme="minorEastAsia"/>
        </w:rPr>
        <w:t>o</w:t>
      </w:r>
      <w:r w:rsidR="00CB420F">
        <w:rPr>
          <w:rFonts w:eastAsiaTheme="minorEastAsia"/>
        </w:rPr>
        <w:t xml:space="preserve">bjective </w:t>
      </w:r>
      <w:r w:rsidR="00EA0E44">
        <w:rPr>
          <w:rFonts w:eastAsiaTheme="minorEastAsia"/>
        </w:rPr>
        <w:t>to focus on diversity</w:t>
      </w:r>
      <w:r w:rsidR="00801163">
        <w:rPr>
          <w:rFonts w:eastAsiaTheme="minorEastAsia"/>
        </w:rPr>
        <w:t>, equity, inclusion, and accessibility</w:t>
      </w:r>
      <w:r w:rsidR="00B644D8">
        <w:rPr>
          <w:rFonts w:eastAsiaTheme="minorEastAsia"/>
        </w:rPr>
        <w:t xml:space="preserve">, creating an agency that better meets the needs of the current and emerging workforce, including improving services to </w:t>
      </w:r>
      <w:r w:rsidR="00452880">
        <w:rPr>
          <w:rFonts w:eastAsiaTheme="minorEastAsia"/>
        </w:rPr>
        <w:t>n</w:t>
      </w:r>
      <w:r w:rsidR="231FFF58" w:rsidRPr="333B87A2">
        <w:rPr>
          <w:rFonts w:eastAsiaTheme="minorEastAsia"/>
        </w:rPr>
        <w:t>ew American</w:t>
      </w:r>
      <w:r w:rsidR="00452880">
        <w:rPr>
          <w:rFonts w:eastAsiaTheme="minorEastAsia"/>
        </w:rPr>
        <w:t>s, underrepresented communities</w:t>
      </w:r>
      <w:r w:rsidR="00CF4E7D">
        <w:rPr>
          <w:rFonts w:eastAsiaTheme="minorEastAsia"/>
        </w:rPr>
        <w:t>, and vete</w:t>
      </w:r>
      <w:r w:rsidR="00C00C67">
        <w:rPr>
          <w:rFonts w:eastAsiaTheme="minorEastAsia"/>
        </w:rPr>
        <w:t>rans</w:t>
      </w:r>
      <w:r w:rsidR="231FFF58" w:rsidRPr="333B87A2">
        <w:rPr>
          <w:rFonts w:eastAsiaTheme="minorEastAsia"/>
        </w:rPr>
        <w:t>.</w:t>
      </w:r>
      <w:r w:rsidR="00220935">
        <w:rPr>
          <w:rFonts w:eastAsiaTheme="minorEastAsia"/>
        </w:rPr>
        <w:t xml:space="preserve"> </w:t>
      </w:r>
      <w:r w:rsidR="231FFF58" w:rsidRPr="333B87A2">
        <w:rPr>
          <w:rFonts w:eastAsiaTheme="minorEastAsia"/>
        </w:rPr>
        <w:t xml:space="preserve"> We’ve included this </w:t>
      </w:r>
      <w:r w:rsidR="000E5616">
        <w:rPr>
          <w:rFonts w:eastAsiaTheme="minorEastAsia"/>
        </w:rPr>
        <w:t xml:space="preserve">objective </w:t>
      </w:r>
      <w:r w:rsidR="004E0090">
        <w:rPr>
          <w:rFonts w:eastAsiaTheme="minorEastAsia"/>
        </w:rPr>
        <w:t>in our</w:t>
      </w:r>
      <w:r w:rsidR="231FFF58" w:rsidRPr="333B87A2">
        <w:rPr>
          <w:rFonts w:eastAsiaTheme="minorEastAsia"/>
        </w:rPr>
        <w:t xml:space="preserve"> Goals</w:t>
      </w:r>
      <w:r w:rsidR="00BA1AF7">
        <w:rPr>
          <w:rFonts w:eastAsiaTheme="minorEastAsia"/>
        </w:rPr>
        <w:t>,</w:t>
      </w:r>
      <w:r w:rsidR="231FFF58" w:rsidRPr="333B87A2">
        <w:rPr>
          <w:rFonts w:eastAsiaTheme="minorEastAsia"/>
        </w:rPr>
        <w:t xml:space="preserve"> Priorities</w:t>
      </w:r>
      <w:r w:rsidR="00BA1AF7">
        <w:rPr>
          <w:rFonts w:eastAsiaTheme="minorEastAsia"/>
        </w:rPr>
        <w:t>, and Strategies</w:t>
      </w:r>
      <w:r w:rsidR="231FFF58" w:rsidRPr="333B87A2">
        <w:rPr>
          <w:rFonts w:eastAsiaTheme="minorEastAsia"/>
        </w:rPr>
        <w:t xml:space="preserve"> and this is in alignment with the WIOA combined State Plan Strategic Vision, Goals and Strategies for the entire state of Minnesota.  </w:t>
      </w:r>
    </w:p>
    <w:p w14:paraId="6DEAE65C" w14:textId="248BC879" w:rsidR="231FFF58" w:rsidRDefault="231FFF58" w:rsidP="333B87A2">
      <w:pPr>
        <w:rPr>
          <w:rFonts w:eastAsiaTheme="minorEastAsia"/>
        </w:rPr>
      </w:pPr>
      <w:r w:rsidRPr="333B87A2">
        <w:rPr>
          <w:rFonts w:eastAsiaTheme="minorEastAsia"/>
        </w:rPr>
        <w:t xml:space="preserve"> </w:t>
      </w:r>
    </w:p>
    <w:p w14:paraId="7C766BF3" w14:textId="6FED63CC" w:rsidR="231FFF58" w:rsidRDefault="00A75DEE" w:rsidP="333B87A2">
      <w:pPr>
        <w:rPr>
          <w:rFonts w:eastAsiaTheme="minorEastAsia"/>
        </w:rPr>
      </w:pPr>
      <w:r>
        <w:rPr>
          <w:rFonts w:eastAsiaTheme="minorEastAsia"/>
        </w:rPr>
        <w:lastRenderedPageBreak/>
        <w:t xml:space="preserve">SSB </w:t>
      </w:r>
      <w:r w:rsidR="00EA5D73">
        <w:rPr>
          <w:rFonts w:eastAsiaTheme="minorEastAsia"/>
        </w:rPr>
        <w:t>serves a small number of</w:t>
      </w:r>
      <w:r w:rsidR="0035202C">
        <w:rPr>
          <w:rFonts w:eastAsiaTheme="minorEastAsia"/>
        </w:rPr>
        <w:t xml:space="preserve"> </w:t>
      </w:r>
      <w:r w:rsidR="00DE1A93">
        <w:rPr>
          <w:rFonts w:eastAsiaTheme="minorEastAsia"/>
        </w:rPr>
        <w:t>v</w:t>
      </w:r>
      <w:r w:rsidR="00DE1A93" w:rsidRPr="333B87A2">
        <w:rPr>
          <w:rFonts w:eastAsiaTheme="minorEastAsia"/>
        </w:rPr>
        <w:t>eterans</w:t>
      </w:r>
      <w:r w:rsidR="00DE1A93">
        <w:rPr>
          <w:rFonts w:eastAsiaTheme="minorEastAsia"/>
        </w:rPr>
        <w:t xml:space="preserve"> </w:t>
      </w:r>
      <w:r w:rsidR="00F02495">
        <w:rPr>
          <w:rFonts w:eastAsiaTheme="minorEastAsia"/>
        </w:rPr>
        <w:t xml:space="preserve">as </w:t>
      </w:r>
      <w:r w:rsidR="00995B2C">
        <w:rPr>
          <w:rFonts w:eastAsiaTheme="minorEastAsia"/>
        </w:rPr>
        <w:t xml:space="preserve">most </w:t>
      </w:r>
      <w:r w:rsidR="009F4C21">
        <w:rPr>
          <w:rFonts w:eastAsiaTheme="minorEastAsia"/>
        </w:rPr>
        <w:t xml:space="preserve">individuals </w:t>
      </w:r>
      <w:r w:rsidR="051AF915" w:rsidRPr="55982EEF">
        <w:rPr>
          <w:rFonts w:eastAsiaTheme="minorEastAsia"/>
        </w:rPr>
        <w:t>receive services</w:t>
      </w:r>
      <w:r w:rsidR="009F4C21">
        <w:rPr>
          <w:rFonts w:eastAsiaTheme="minorEastAsia"/>
        </w:rPr>
        <w:t xml:space="preserve"> through the </w:t>
      </w:r>
      <w:r w:rsidR="6F6412F1" w:rsidRPr="55982EEF">
        <w:rPr>
          <w:rFonts w:eastAsiaTheme="minorEastAsia"/>
        </w:rPr>
        <w:t>V</w:t>
      </w:r>
      <w:r w:rsidR="009F4C21" w:rsidRPr="55982EEF">
        <w:rPr>
          <w:rFonts w:eastAsiaTheme="minorEastAsia"/>
        </w:rPr>
        <w:t>eterans</w:t>
      </w:r>
      <w:r w:rsidR="00A23882" w:rsidRPr="55982EEF">
        <w:rPr>
          <w:rFonts w:eastAsiaTheme="minorEastAsia"/>
        </w:rPr>
        <w:t xml:space="preserve"> </w:t>
      </w:r>
      <w:r w:rsidR="4B24C5BC" w:rsidRPr="55982EEF">
        <w:rPr>
          <w:rFonts w:eastAsiaTheme="minorEastAsia"/>
        </w:rPr>
        <w:t>Administration</w:t>
      </w:r>
      <w:r w:rsidR="00A23882" w:rsidRPr="55982EEF">
        <w:rPr>
          <w:rFonts w:eastAsiaTheme="minorEastAsia"/>
        </w:rPr>
        <w:t>.</w:t>
      </w:r>
      <w:r w:rsidR="00742D34" w:rsidRPr="55982EEF">
        <w:rPr>
          <w:rFonts w:eastAsiaTheme="minorEastAsia"/>
        </w:rPr>
        <w:t xml:space="preserve"> </w:t>
      </w:r>
      <w:r w:rsidR="231FFF58" w:rsidRPr="55982EEF">
        <w:rPr>
          <w:rFonts w:eastAsiaTheme="minorEastAsia"/>
        </w:rPr>
        <w:t xml:space="preserve"> </w:t>
      </w:r>
      <w:r w:rsidR="7FD39A47" w:rsidRPr="55982EEF">
        <w:rPr>
          <w:rFonts w:eastAsiaTheme="minorEastAsia"/>
        </w:rPr>
        <w:t xml:space="preserve">We currently have 10 customers identified as </w:t>
      </w:r>
      <w:r w:rsidR="00DE1A93">
        <w:rPr>
          <w:rFonts w:eastAsiaTheme="minorEastAsia"/>
        </w:rPr>
        <w:t>v</w:t>
      </w:r>
      <w:r w:rsidR="00DE1A93" w:rsidRPr="55982EEF">
        <w:rPr>
          <w:rFonts w:eastAsiaTheme="minorEastAsia"/>
        </w:rPr>
        <w:t xml:space="preserve">eterans </w:t>
      </w:r>
      <w:r w:rsidR="0AF795E7" w:rsidRPr="55982EEF">
        <w:rPr>
          <w:rFonts w:eastAsiaTheme="minorEastAsia"/>
        </w:rPr>
        <w:t>and believe that services are adequate to meet their needs</w:t>
      </w:r>
      <w:r w:rsidR="7FD39A47" w:rsidRPr="55982EEF">
        <w:rPr>
          <w:rFonts w:eastAsiaTheme="minorEastAsia"/>
        </w:rPr>
        <w:t>.</w:t>
      </w:r>
    </w:p>
    <w:p w14:paraId="1EC27F2C" w14:textId="35062B6C" w:rsidR="00626150" w:rsidRDefault="231FFF58" w:rsidP="333B87A2">
      <w:pPr>
        <w:rPr>
          <w:rFonts w:eastAsiaTheme="minorEastAsia"/>
        </w:rPr>
      </w:pPr>
      <w:r w:rsidRPr="333B87A2">
        <w:rPr>
          <w:rFonts w:eastAsiaTheme="minorEastAsia"/>
        </w:rPr>
        <w:t xml:space="preserve"> </w:t>
      </w:r>
    </w:p>
    <w:p w14:paraId="09E5AAB5" w14:textId="7FEDADD4" w:rsidR="231FFF58" w:rsidRDefault="231FFF58" w:rsidP="333B87A2">
      <w:pPr>
        <w:rPr>
          <w:rFonts w:eastAsiaTheme="minorEastAsia"/>
        </w:rPr>
      </w:pPr>
      <w:r w:rsidRPr="333B87A2">
        <w:rPr>
          <w:rFonts w:eastAsiaTheme="minorEastAsia"/>
        </w:rPr>
        <w:t xml:space="preserve">SSB currently serves </w:t>
      </w:r>
      <w:r w:rsidR="00167A40">
        <w:rPr>
          <w:rFonts w:eastAsiaTheme="minorEastAsia"/>
        </w:rPr>
        <w:t>49</w:t>
      </w:r>
      <w:r w:rsidRPr="333B87A2">
        <w:rPr>
          <w:rFonts w:eastAsiaTheme="minorEastAsia"/>
        </w:rPr>
        <w:t xml:space="preserve"> DeafBlind individuals</w:t>
      </w:r>
      <w:r w:rsidR="00C96D3E">
        <w:rPr>
          <w:rFonts w:eastAsiaTheme="minorEastAsia"/>
        </w:rPr>
        <w:t xml:space="preserve"> </w:t>
      </w:r>
      <w:r w:rsidR="00F74B0E">
        <w:rPr>
          <w:rFonts w:eastAsiaTheme="minorEastAsia"/>
        </w:rPr>
        <w:t xml:space="preserve">with another </w:t>
      </w:r>
      <w:r w:rsidR="00C96D3E">
        <w:rPr>
          <w:rFonts w:eastAsiaTheme="minorEastAsia"/>
        </w:rPr>
        <w:t xml:space="preserve">26 </w:t>
      </w:r>
      <w:r w:rsidR="008C0080">
        <w:rPr>
          <w:rFonts w:eastAsiaTheme="minorEastAsia"/>
        </w:rPr>
        <w:t xml:space="preserve">categorized as having a dual sensory loss. </w:t>
      </w:r>
    </w:p>
    <w:p w14:paraId="6E776466" w14:textId="77777777" w:rsidR="00756CFD" w:rsidRDefault="00756CFD" w:rsidP="333B87A2">
      <w:pPr>
        <w:rPr>
          <w:rFonts w:eastAsiaTheme="minorEastAsia"/>
        </w:rPr>
      </w:pPr>
    </w:p>
    <w:p w14:paraId="702ECC89" w14:textId="077E98AE" w:rsidR="231FFF58" w:rsidRDefault="00EE627F" w:rsidP="008A0668">
      <w:pPr>
        <w:spacing w:after="60"/>
        <w:rPr>
          <w:rFonts w:eastAsiaTheme="minorEastAsia"/>
        </w:rPr>
      </w:pPr>
      <w:r w:rsidRPr="00A4065D">
        <w:rPr>
          <w:rFonts w:eastAsiaTheme="minorEastAsia"/>
        </w:rPr>
        <w:t xml:space="preserve">In 2021, the Minnesota Commission of the Deaf, DeafBlind &amp; Hard of Hearing (MNCDHH) partnered with Wilder Research to </w:t>
      </w:r>
      <w:r w:rsidR="002435A5" w:rsidRPr="00A4065D">
        <w:rPr>
          <w:rFonts w:eastAsiaTheme="minorEastAsia"/>
        </w:rPr>
        <w:t xml:space="preserve">conduct a needs assessment and </w:t>
      </w:r>
      <w:r w:rsidRPr="00A4065D">
        <w:rPr>
          <w:rFonts w:eastAsiaTheme="minorEastAsia"/>
        </w:rPr>
        <w:t>create a data-informed strategic plan, with the goal of better supporting DeafBlind children and youth in Minnesota.</w:t>
      </w:r>
      <w:r w:rsidR="005D25D8" w:rsidRPr="00A4065D">
        <w:rPr>
          <w:rFonts w:eastAsiaTheme="minorEastAsia"/>
        </w:rPr>
        <w:t xml:space="preserve"> </w:t>
      </w:r>
      <w:r w:rsidR="007744D0" w:rsidRPr="00A4065D">
        <w:rPr>
          <w:rFonts w:eastAsiaTheme="minorEastAsia"/>
        </w:rPr>
        <w:t>The k</w:t>
      </w:r>
      <w:r w:rsidR="0073709A" w:rsidRPr="00A4065D">
        <w:rPr>
          <w:rFonts w:eastAsiaTheme="minorEastAsia"/>
        </w:rPr>
        <w:t xml:space="preserve">ey finding </w:t>
      </w:r>
      <w:r w:rsidR="00CE524F" w:rsidRPr="00A4065D">
        <w:rPr>
          <w:rFonts w:eastAsiaTheme="minorEastAsia"/>
        </w:rPr>
        <w:t xml:space="preserve">was </w:t>
      </w:r>
      <w:r w:rsidR="00A4065D" w:rsidRPr="00A4065D">
        <w:rPr>
          <w:rFonts w:eastAsiaTheme="minorEastAsia"/>
        </w:rPr>
        <w:t>Minnesota lacks a cohesive system for supporting Deafblind children and youth</w:t>
      </w:r>
      <w:r w:rsidR="00A4065D">
        <w:rPr>
          <w:rFonts w:eastAsiaTheme="minorEastAsia"/>
        </w:rPr>
        <w:t>.</w:t>
      </w:r>
      <w:r w:rsidR="00DD0DF8">
        <w:rPr>
          <w:rFonts w:eastAsiaTheme="minorEastAsia"/>
        </w:rPr>
        <w:t xml:space="preserve"> </w:t>
      </w:r>
      <w:r w:rsidR="002D37EB">
        <w:rPr>
          <w:rFonts w:eastAsiaTheme="minorEastAsia"/>
        </w:rPr>
        <w:t>Professional</w:t>
      </w:r>
      <w:r w:rsidR="00EA4ED1">
        <w:rPr>
          <w:rFonts w:eastAsiaTheme="minorEastAsia"/>
        </w:rPr>
        <w:t>s</w:t>
      </w:r>
      <w:r w:rsidR="002D37EB">
        <w:rPr>
          <w:rFonts w:eastAsiaTheme="minorEastAsia"/>
        </w:rPr>
        <w:t xml:space="preserve"> identified a number of system and </w:t>
      </w:r>
      <w:r w:rsidR="009D1669">
        <w:rPr>
          <w:rFonts w:eastAsiaTheme="minorEastAsia"/>
        </w:rPr>
        <w:t>practice</w:t>
      </w:r>
      <w:r w:rsidR="002D37EB">
        <w:rPr>
          <w:rFonts w:eastAsiaTheme="minorEastAsia"/>
        </w:rPr>
        <w:t xml:space="preserve"> </w:t>
      </w:r>
      <w:r w:rsidR="009D1669">
        <w:rPr>
          <w:rFonts w:eastAsiaTheme="minorEastAsia"/>
        </w:rPr>
        <w:t>issues</w:t>
      </w:r>
      <w:r w:rsidR="002D37EB">
        <w:rPr>
          <w:rFonts w:eastAsiaTheme="minorEastAsia"/>
        </w:rPr>
        <w:t xml:space="preserve">, with the most prominent </w:t>
      </w:r>
      <w:r w:rsidR="009D1669">
        <w:rPr>
          <w:rFonts w:eastAsiaTheme="minorEastAsia"/>
        </w:rPr>
        <w:t>being</w:t>
      </w:r>
      <w:r w:rsidR="002D37EB">
        <w:rPr>
          <w:rFonts w:eastAsiaTheme="minorEastAsia"/>
        </w:rPr>
        <w:t xml:space="preserve"> a lack of communication and coordination among professionals who serve DeafBlind children and you</w:t>
      </w:r>
      <w:r w:rsidR="00B828B1">
        <w:rPr>
          <w:rFonts w:eastAsiaTheme="minorEastAsia"/>
        </w:rPr>
        <w:t>th</w:t>
      </w:r>
      <w:r w:rsidR="008A0668">
        <w:rPr>
          <w:rFonts w:eastAsiaTheme="minorEastAsia"/>
        </w:rPr>
        <w:t xml:space="preserve"> including: </w:t>
      </w:r>
    </w:p>
    <w:p w14:paraId="7D29D5FB" w14:textId="205CE7C1" w:rsidR="008A0668" w:rsidRDefault="008A0668" w:rsidP="008A0668">
      <w:pPr>
        <w:pStyle w:val="ListParagraph"/>
        <w:numPr>
          <w:ilvl w:val="0"/>
          <w:numId w:val="71"/>
        </w:numPr>
        <w:rPr>
          <w:rFonts w:eastAsiaTheme="minorEastAsia"/>
        </w:rPr>
      </w:pPr>
      <w:r w:rsidRPr="008A0668">
        <w:rPr>
          <w:rFonts w:eastAsiaTheme="minorEastAsia"/>
        </w:rPr>
        <w:t>A lack of communication among service providers</w:t>
      </w:r>
    </w:p>
    <w:p w14:paraId="75134BA4" w14:textId="61D25858" w:rsidR="008A0668" w:rsidRDefault="008A0668" w:rsidP="008A0668">
      <w:pPr>
        <w:pStyle w:val="ListParagraph"/>
        <w:numPr>
          <w:ilvl w:val="0"/>
          <w:numId w:val="71"/>
        </w:numPr>
        <w:rPr>
          <w:rFonts w:eastAsiaTheme="minorEastAsia"/>
        </w:rPr>
      </w:pPr>
      <w:r>
        <w:rPr>
          <w:rFonts w:eastAsiaTheme="minorEastAsia"/>
        </w:rPr>
        <w:t xml:space="preserve">A lack of DeafBlind-specific knowledge and skills among </w:t>
      </w:r>
      <w:r w:rsidR="00972137">
        <w:rPr>
          <w:rFonts w:eastAsiaTheme="minorEastAsia"/>
        </w:rPr>
        <w:t>professionals</w:t>
      </w:r>
      <w:r>
        <w:rPr>
          <w:rFonts w:eastAsiaTheme="minorEastAsia"/>
        </w:rPr>
        <w:t xml:space="preserve"> who serve DeafBlind children and youth</w:t>
      </w:r>
    </w:p>
    <w:p w14:paraId="1232F295" w14:textId="29AC26E3" w:rsidR="00972137" w:rsidRPr="008A0668" w:rsidRDefault="00972137" w:rsidP="002F46D7">
      <w:pPr>
        <w:pStyle w:val="ListParagraph"/>
        <w:numPr>
          <w:ilvl w:val="0"/>
          <w:numId w:val="71"/>
        </w:numPr>
        <w:spacing w:after="60"/>
        <w:contextualSpacing w:val="0"/>
        <w:rPr>
          <w:rFonts w:eastAsiaTheme="minorEastAsia"/>
        </w:rPr>
      </w:pPr>
      <w:r>
        <w:rPr>
          <w:rFonts w:eastAsiaTheme="minorEastAsia"/>
        </w:rPr>
        <w:t>A lack of professional support and guidance for families and loved one</w:t>
      </w:r>
      <w:r w:rsidR="00DE1A93">
        <w:rPr>
          <w:rFonts w:eastAsiaTheme="minorEastAsia"/>
        </w:rPr>
        <w:t>s</w:t>
      </w:r>
      <w:r>
        <w:rPr>
          <w:rFonts w:eastAsiaTheme="minorEastAsia"/>
        </w:rPr>
        <w:t xml:space="preserve"> of DeafBlind children and youth</w:t>
      </w:r>
    </w:p>
    <w:p w14:paraId="51A4168C" w14:textId="77777777" w:rsidR="00C45A96" w:rsidRDefault="00AC0013" w:rsidP="001851B9">
      <w:pPr>
        <w:spacing w:after="60"/>
        <w:rPr>
          <w:rFonts w:eastAsiaTheme="minorEastAsia"/>
        </w:rPr>
      </w:pPr>
      <w:r>
        <w:rPr>
          <w:rFonts w:eastAsiaTheme="minorEastAsia"/>
        </w:rPr>
        <w:t xml:space="preserve">Professionals also reported a </w:t>
      </w:r>
      <w:r w:rsidR="002F46D7">
        <w:rPr>
          <w:rFonts w:eastAsiaTheme="minorEastAsia"/>
        </w:rPr>
        <w:t>piecemeal</w:t>
      </w:r>
      <w:r>
        <w:rPr>
          <w:rFonts w:eastAsiaTheme="minorEastAsia"/>
        </w:rPr>
        <w:t xml:space="preserve"> “system” for serving Deafblind children and their families that is comprised of slightly coordina</w:t>
      </w:r>
      <w:r w:rsidR="0063055E">
        <w:rPr>
          <w:rFonts w:eastAsiaTheme="minorEastAsia"/>
        </w:rPr>
        <w:t>ted</w:t>
      </w:r>
      <w:r>
        <w:rPr>
          <w:rFonts w:eastAsiaTheme="minorEastAsia"/>
        </w:rPr>
        <w:t xml:space="preserve"> insti</w:t>
      </w:r>
      <w:r w:rsidR="002F46D7">
        <w:rPr>
          <w:rFonts w:eastAsiaTheme="minorEastAsia"/>
        </w:rPr>
        <w:t xml:space="preserve">tutions, </w:t>
      </w:r>
      <w:r w:rsidR="0063055E">
        <w:rPr>
          <w:rFonts w:eastAsiaTheme="minorEastAsia"/>
        </w:rPr>
        <w:t>organizations</w:t>
      </w:r>
      <w:r w:rsidR="002F46D7">
        <w:rPr>
          <w:rFonts w:eastAsiaTheme="minorEastAsia"/>
        </w:rPr>
        <w:t xml:space="preserve">, and people. </w:t>
      </w:r>
      <w:r w:rsidR="00F1330D">
        <w:rPr>
          <w:rFonts w:eastAsiaTheme="minorEastAsia"/>
        </w:rPr>
        <w:t>Several</w:t>
      </w:r>
      <w:r w:rsidR="005F5DDD">
        <w:rPr>
          <w:rFonts w:eastAsiaTheme="minorEastAsia"/>
        </w:rPr>
        <w:t xml:space="preserve"> suggestions for </w:t>
      </w:r>
      <w:r w:rsidR="00A80AC6">
        <w:rPr>
          <w:rFonts w:eastAsiaTheme="minorEastAsia"/>
        </w:rPr>
        <w:t xml:space="preserve">better supporting DeafBlind children and youth in Minnesota </w:t>
      </w:r>
      <w:r w:rsidR="00C45A96">
        <w:rPr>
          <w:rFonts w:eastAsiaTheme="minorEastAsia"/>
        </w:rPr>
        <w:t xml:space="preserve">were given including: </w:t>
      </w:r>
    </w:p>
    <w:p w14:paraId="62628107" w14:textId="22000733" w:rsidR="000B5AC3" w:rsidRPr="001851B9" w:rsidRDefault="00DE1A93" w:rsidP="001851B9">
      <w:pPr>
        <w:pStyle w:val="ListParagraph"/>
        <w:numPr>
          <w:ilvl w:val="0"/>
          <w:numId w:val="72"/>
        </w:numPr>
        <w:rPr>
          <w:rFonts w:eastAsiaTheme="minorEastAsia"/>
        </w:rPr>
      </w:pPr>
      <w:r w:rsidRPr="001851B9">
        <w:rPr>
          <w:rFonts w:eastAsiaTheme="minorEastAsia"/>
        </w:rPr>
        <w:t>Promot</w:t>
      </w:r>
      <w:r>
        <w:rPr>
          <w:rFonts w:eastAsiaTheme="minorEastAsia"/>
        </w:rPr>
        <w:t>ing</w:t>
      </w:r>
      <w:r w:rsidRPr="001851B9">
        <w:rPr>
          <w:rFonts w:eastAsiaTheme="minorEastAsia"/>
        </w:rPr>
        <w:t xml:space="preserve"> </w:t>
      </w:r>
      <w:r w:rsidR="000B5AC3" w:rsidRPr="001851B9">
        <w:rPr>
          <w:rFonts w:eastAsiaTheme="minorEastAsia"/>
        </w:rPr>
        <w:t>coordinated services and the sharing of information among service providers</w:t>
      </w:r>
    </w:p>
    <w:p w14:paraId="77FCE492" w14:textId="14126977" w:rsidR="000B5AC3" w:rsidRPr="001851B9" w:rsidRDefault="000B5AC3" w:rsidP="001851B9">
      <w:pPr>
        <w:pStyle w:val="ListParagraph"/>
        <w:numPr>
          <w:ilvl w:val="0"/>
          <w:numId w:val="72"/>
        </w:numPr>
        <w:rPr>
          <w:rFonts w:eastAsiaTheme="minorEastAsia"/>
        </w:rPr>
      </w:pPr>
      <w:r w:rsidRPr="001851B9">
        <w:rPr>
          <w:rFonts w:eastAsiaTheme="minorEastAsia"/>
        </w:rPr>
        <w:t>Help</w:t>
      </w:r>
      <w:r w:rsidR="00DE1A93">
        <w:rPr>
          <w:rFonts w:eastAsiaTheme="minorEastAsia"/>
        </w:rPr>
        <w:t>ing</w:t>
      </w:r>
      <w:r w:rsidRPr="001851B9">
        <w:rPr>
          <w:rFonts w:eastAsiaTheme="minorEastAsia"/>
        </w:rPr>
        <w:t xml:space="preserve"> children with combined hearing and vision loss and their families coordinate</w:t>
      </w:r>
    </w:p>
    <w:p w14:paraId="3BD9BEFC" w14:textId="770B11B7" w:rsidR="000B5AC3" w:rsidRPr="000B5AC3" w:rsidRDefault="000B5AC3" w:rsidP="001851B9">
      <w:pPr>
        <w:ind w:firstLine="720"/>
        <w:rPr>
          <w:rFonts w:eastAsiaTheme="minorEastAsia"/>
        </w:rPr>
      </w:pPr>
      <w:r w:rsidRPr="000B5AC3">
        <w:rPr>
          <w:rFonts w:eastAsiaTheme="minorEastAsia"/>
        </w:rPr>
        <w:t>services</w:t>
      </w:r>
    </w:p>
    <w:p w14:paraId="2B808C76" w14:textId="398E2AD4" w:rsidR="000B5AC3" w:rsidRPr="001851B9" w:rsidRDefault="00DE1A93" w:rsidP="001851B9">
      <w:pPr>
        <w:pStyle w:val="ListParagraph"/>
        <w:numPr>
          <w:ilvl w:val="0"/>
          <w:numId w:val="73"/>
        </w:numPr>
        <w:rPr>
          <w:rFonts w:eastAsiaTheme="minorEastAsia"/>
        </w:rPr>
      </w:pPr>
      <w:r>
        <w:rPr>
          <w:rFonts w:eastAsiaTheme="minorEastAsia"/>
        </w:rPr>
        <w:t xml:space="preserve">Providing </w:t>
      </w:r>
      <w:r w:rsidR="000B5AC3" w:rsidRPr="001851B9">
        <w:rPr>
          <w:rFonts w:eastAsiaTheme="minorEastAsia"/>
        </w:rPr>
        <w:t xml:space="preserve">education about deafblindness to parents and providers </w:t>
      </w:r>
    </w:p>
    <w:p w14:paraId="7D994635" w14:textId="12504793" w:rsidR="000B5AC3" w:rsidRPr="001851B9" w:rsidRDefault="00DE1A93" w:rsidP="001851B9">
      <w:pPr>
        <w:pStyle w:val="ListParagraph"/>
        <w:numPr>
          <w:ilvl w:val="0"/>
          <w:numId w:val="73"/>
        </w:numPr>
        <w:rPr>
          <w:rFonts w:eastAsiaTheme="minorEastAsia"/>
        </w:rPr>
      </w:pPr>
      <w:r>
        <w:rPr>
          <w:rFonts w:eastAsiaTheme="minorEastAsia"/>
        </w:rPr>
        <w:t>Offering</w:t>
      </w:r>
      <w:r w:rsidRPr="001851B9">
        <w:rPr>
          <w:rFonts w:eastAsiaTheme="minorEastAsia"/>
        </w:rPr>
        <w:t xml:space="preserve"> social</w:t>
      </w:r>
      <w:r w:rsidR="000B5AC3" w:rsidRPr="001851B9">
        <w:rPr>
          <w:rFonts w:eastAsiaTheme="minorEastAsia"/>
        </w:rPr>
        <w:t xml:space="preserve"> connection and emotional support for DeafBlind children and youth and</w:t>
      </w:r>
    </w:p>
    <w:p w14:paraId="7C275A0F" w14:textId="47784A39" w:rsidR="000B5AC3" w:rsidRPr="000B5AC3" w:rsidRDefault="000B5AC3" w:rsidP="00EB2072">
      <w:pPr>
        <w:ind w:firstLine="720"/>
        <w:rPr>
          <w:rFonts w:eastAsiaTheme="minorEastAsia"/>
        </w:rPr>
      </w:pPr>
      <w:r w:rsidRPr="000B5AC3">
        <w:rPr>
          <w:rFonts w:eastAsiaTheme="minorEastAsia"/>
        </w:rPr>
        <w:t xml:space="preserve">their families </w:t>
      </w:r>
    </w:p>
    <w:p w14:paraId="0CB6E691" w14:textId="3DDAAEE7" w:rsidR="000B5AC3" w:rsidRPr="001851B9" w:rsidRDefault="00DE1A93" w:rsidP="001851B9">
      <w:pPr>
        <w:pStyle w:val="ListParagraph"/>
        <w:numPr>
          <w:ilvl w:val="0"/>
          <w:numId w:val="74"/>
        </w:numPr>
        <w:rPr>
          <w:rFonts w:eastAsiaTheme="minorEastAsia"/>
        </w:rPr>
      </w:pPr>
      <w:r>
        <w:rPr>
          <w:rFonts w:eastAsiaTheme="minorEastAsia"/>
        </w:rPr>
        <w:t>Preparing</w:t>
      </w:r>
      <w:r w:rsidR="000B5AC3" w:rsidRPr="001851B9">
        <w:rPr>
          <w:rFonts w:eastAsiaTheme="minorEastAsia"/>
        </w:rPr>
        <w:t xml:space="preserve"> DeafBlind youth for the transition to community-based services at age 21 </w:t>
      </w:r>
    </w:p>
    <w:p w14:paraId="5FB7F88E" w14:textId="097497CF" w:rsidR="000B5AC3" w:rsidRPr="001851B9" w:rsidRDefault="00DE1A93" w:rsidP="001851B9">
      <w:pPr>
        <w:pStyle w:val="ListParagraph"/>
        <w:numPr>
          <w:ilvl w:val="0"/>
          <w:numId w:val="74"/>
        </w:numPr>
        <w:rPr>
          <w:rFonts w:eastAsiaTheme="minorEastAsia"/>
        </w:rPr>
      </w:pPr>
      <w:r w:rsidRPr="001851B9">
        <w:rPr>
          <w:rFonts w:eastAsiaTheme="minorEastAsia"/>
        </w:rPr>
        <w:t>Contribut</w:t>
      </w:r>
      <w:r>
        <w:rPr>
          <w:rFonts w:eastAsiaTheme="minorEastAsia"/>
        </w:rPr>
        <w:t>ing</w:t>
      </w:r>
      <w:r w:rsidRPr="001851B9">
        <w:rPr>
          <w:rFonts w:eastAsiaTheme="minorEastAsia"/>
        </w:rPr>
        <w:t xml:space="preserve"> </w:t>
      </w:r>
      <w:r w:rsidR="000B5AC3" w:rsidRPr="001851B9">
        <w:rPr>
          <w:rFonts w:eastAsiaTheme="minorEastAsia"/>
        </w:rPr>
        <w:t>to legislative and policy-focused activities that could improve the lives of</w:t>
      </w:r>
    </w:p>
    <w:p w14:paraId="2B192BBE" w14:textId="1A114387" w:rsidR="008A0668" w:rsidRDefault="000B5AC3" w:rsidP="001851B9">
      <w:pPr>
        <w:ind w:firstLine="720"/>
        <w:rPr>
          <w:rFonts w:eastAsiaTheme="minorEastAsia"/>
        </w:rPr>
      </w:pPr>
      <w:r w:rsidRPr="000B5AC3">
        <w:rPr>
          <w:rFonts w:eastAsiaTheme="minorEastAsia"/>
        </w:rPr>
        <w:t xml:space="preserve">DeafBlind children </w:t>
      </w:r>
    </w:p>
    <w:p w14:paraId="64C5A285" w14:textId="77777777" w:rsidR="00337345" w:rsidRDefault="00337345" w:rsidP="333B87A2">
      <w:pPr>
        <w:rPr>
          <w:rFonts w:eastAsiaTheme="minorEastAsia"/>
        </w:rPr>
      </w:pPr>
    </w:p>
    <w:p w14:paraId="1660F889" w14:textId="4520D9DA" w:rsidR="231FFF58" w:rsidRDefault="231FFF58" w:rsidP="333B87A2">
      <w:pPr>
        <w:rPr>
          <w:rFonts w:eastAsiaTheme="minorEastAsia"/>
        </w:rPr>
      </w:pPr>
      <w:r w:rsidRPr="333B87A2">
        <w:rPr>
          <w:rFonts w:eastAsiaTheme="minorEastAsia"/>
        </w:rPr>
        <w:t xml:space="preserve">SSB has worked to develop more options </w:t>
      </w:r>
      <w:r w:rsidR="008D4A85">
        <w:rPr>
          <w:rFonts w:eastAsiaTheme="minorEastAsia"/>
        </w:rPr>
        <w:t xml:space="preserve">in </w:t>
      </w:r>
      <w:r w:rsidRPr="333B87A2">
        <w:rPr>
          <w:rFonts w:eastAsiaTheme="minorEastAsia"/>
        </w:rPr>
        <w:t xml:space="preserve">service providers specializing in DeafBlindness. A contract has been established with Helen Keller National Center (HKNC) </w:t>
      </w:r>
      <w:r w:rsidR="00F87C0A">
        <w:rPr>
          <w:rFonts w:eastAsiaTheme="minorEastAsia"/>
        </w:rPr>
        <w:t>for A</w:t>
      </w:r>
      <w:r w:rsidR="00481D05">
        <w:rPr>
          <w:rFonts w:eastAsiaTheme="minorEastAsia"/>
        </w:rPr>
        <w:t xml:space="preserve">TB </w:t>
      </w:r>
      <w:r w:rsidR="000B44C0">
        <w:rPr>
          <w:rFonts w:eastAsiaTheme="minorEastAsia"/>
        </w:rPr>
        <w:t xml:space="preserve">with </w:t>
      </w:r>
      <w:r w:rsidR="00846FDD">
        <w:rPr>
          <w:rFonts w:eastAsiaTheme="minorEastAsia"/>
        </w:rPr>
        <w:t xml:space="preserve">the potential for </w:t>
      </w:r>
      <w:r w:rsidR="00EB3BC3">
        <w:rPr>
          <w:rFonts w:eastAsiaTheme="minorEastAsia"/>
        </w:rPr>
        <w:t xml:space="preserve">additional services being investigated. </w:t>
      </w:r>
      <w:r w:rsidR="00B36E9E">
        <w:rPr>
          <w:rFonts w:eastAsiaTheme="minorEastAsia"/>
        </w:rPr>
        <w:t>Additionally,</w:t>
      </w:r>
      <w:r w:rsidRPr="333B87A2">
        <w:rPr>
          <w:rFonts w:eastAsiaTheme="minorEastAsia"/>
        </w:rPr>
        <w:t xml:space="preserve"> there has been discussion of grow</w:t>
      </w:r>
      <w:r w:rsidR="002F0E97">
        <w:rPr>
          <w:rFonts w:eastAsiaTheme="minorEastAsia"/>
        </w:rPr>
        <w:t>th</w:t>
      </w:r>
      <w:r w:rsidRPr="333B87A2">
        <w:rPr>
          <w:rFonts w:eastAsiaTheme="minorEastAsia"/>
        </w:rPr>
        <w:t xml:space="preserve"> by potentially hiring providers in the state of Minnesota for service provision and potentially establishing a</w:t>
      </w:r>
      <w:r w:rsidR="00C51064">
        <w:rPr>
          <w:rFonts w:eastAsiaTheme="minorEastAsia"/>
        </w:rPr>
        <w:t>n in-state</w:t>
      </w:r>
      <w:r w:rsidR="00403CE7">
        <w:rPr>
          <w:rFonts w:eastAsiaTheme="minorEastAsia"/>
        </w:rPr>
        <w:t xml:space="preserve"> location </w:t>
      </w:r>
      <w:r w:rsidR="005905C7">
        <w:rPr>
          <w:rFonts w:eastAsiaTheme="minorEastAsia"/>
        </w:rPr>
        <w:t xml:space="preserve">for </w:t>
      </w:r>
      <w:r w:rsidRPr="333B87A2">
        <w:rPr>
          <w:rFonts w:eastAsiaTheme="minorEastAsia"/>
        </w:rPr>
        <w:t>training. An HKNC employment services staff</w:t>
      </w:r>
      <w:r w:rsidR="008B32FC">
        <w:rPr>
          <w:rFonts w:eastAsiaTheme="minorEastAsia"/>
        </w:rPr>
        <w:t xml:space="preserve"> member</w:t>
      </w:r>
      <w:r w:rsidRPr="333B87A2">
        <w:rPr>
          <w:rFonts w:eastAsiaTheme="minorEastAsia"/>
        </w:rPr>
        <w:t xml:space="preserve"> is </w:t>
      </w:r>
      <w:r w:rsidR="008B32FC">
        <w:rPr>
          <w:rFonts w:eastAsiaTheme="minorEastAsia"/>
        </w:rPr>
        <w:t>acquiring</w:t>
      </w:r>
      <w:r w:rsidR="008B32FC" w:rsidRPr="333B87A2">
        <w:rPr>
          <w:rFonts w:eastAsiaTheme="minorEastAsia"/>
        </w:rPr>
        <w:t xml:space="preserve"> </w:t>
      </w:r>
      <w:r w:rsidRPr="333B87A2">
        <w:rPr>
          <w:rFonts w:eastAsiaTheme="minorEastAsia"/>
        </w:rPr>
        <w:t xml:space="preserve">ACRE </w:t>
      </w:r>
      <w:r w:rsidR="009509B7">
        <w:rPr>
          <w:rFonts w:eastAsiaTheme="minorEastAsia"/>
        </w:rPr>
        <w:t>c</w:t>
      </w:r>
      <w:r w:rsidRPr="333B87A2">
        <w:rPr>
          <w:rFonts w:eastAsiaTheme="minorEastAsia"/>
        </w:rPr>
        <w:t xml:space="preserve">ertified </w:t>
      </w:r>
      <w:r w:rsidR="009509B7">
        <w:rPr>
          <w:rFonts w:eastAsiaTheme="minorEastAsia"/>
        </w:rPr>
        <w:t xml:space="preserve">training </w:t>
      </w:r>
      <w:r w:rsidRPr="333B87A2">
        <w:rPr>
          <w:rFonts w:eastAsiaTheme="minorEastAsia"/>
        </w:rPr>
        <w:t xml:space="preserve">to become a Customized Employment provider.  </w:t>
      </w:r>
    </w:p>
    <w:p w14:paraId="55FC3ABF" w14:textId="2A7816B6" w:rsidR="231FFF58" w:rsidRDefault="231FFF58" w:rsidP="333B87A2">
      <w:pPr>
        <w:rPr>
          <w:rFonts w:eastAsiaTheme="minorEastAsia"/>
        </w:rPr>
      </w:pPr>
      <w:r w:rsidRPr="333B87A2">
        <w:rPr>
          <w:rFonts w:eastAsiaTheme="minorEastAsia"/>
        </w:rPr>
        <w:t xml:space="preserve"> </w:t>
      </w:r>
    </w:p>
    <w:p w14:paraId="21B59362" w14:textId="0634D43B" w:rsidR="231FFF58" w:rsidRDefault="231FFF58" w:rsidP="333B87A2">
      <w:pPr>
        <w:rPr>
          <w:rFonts w:eastAsiaTheme="minorEastAsia"/>
        </w:rPr>
      </w:pPr>
      <w:r w:rsidRPr="333B87A2">
        <w:rPr>
          <w:rFonts w:eastAsiaTheme="minorEastAsia"/>
        </w:rPr>
        <w:t xml:space="preserve">Despites these strides, there continues to be a lack of providers with the knowledge and skills to provide the specialized services needed by DeafBlind individuals and even less so, those that can communicate directly in their language. </w:t>
      </w:r>
    </w:p>
    <w:p w14:paraId="6BB2ED2C" w14:textId="68E11403" w:rsidR="231FFF58" w:rsidRDefault="231FFF58" w:rsidP="333B87A2">
      <w:pPr>
        <w:spacing w:line="257" w:lineRule="auto"/>
        <w:rPr>
          <w:rFonts w:eastAsiaTheme="minorEastAsia"/>
        </w:rPr>
      </w:pPr>
      <w:r w:rsidRPr="333B87A2">
        <w:rPr>
          <w:rFonts w:eastAsiaTheme="minorEastAsia"/>
        </w:rPr>
        <w:t xml:space="preserve"> </w:t>
      </w:r>
    </w:p>
    <w:p w14:paraId="4942F97D" w14:textId="764DFBA8" w:rsidR="231FFF58" w:rsidRDefault="231FFF58" w:rsidP="333B87A2">
      <w:pPr>
        <w:spacing w:line="257" w:lineRule="auto"/>
        <w:rPr>
          <w:rFonts w:eastAsiaTheme="minorEastAsia"/>
        </w:rPr>
      </w:pPr>
      <w:r w:rsidRPr="333B87A2">
        <w:rPr>
          <w:rFonts w:eastAsiaTheme="minorEastAsia"/>
        </w:rPr>
        <w:t xml:space="preserve">SSB continues to see an enormous lack of the availability of Adult Basic Education centers (ABE) that provide ELL services with braille to blind and visually impaired individuals. For many new Americans, learning English is a first step before Adjustment To Blindness (ATB) training, higher education and/or employment, and self-sufficiency. Minnesota has a robust ABE </w:t>
      </w:r>
      <w:r w:rsidR="00CB4A95" w:rsidRPr="333B87A2">
        <w:rPr>
          <w:rFonts w:eastAsiaTheme="minorEastAsia"/>
        </w:rPr>
        <w:t>program</w:t>
      </w:r>
      <w:r w:rsidR="00CB4A95">
        <w:rPr>
          <w:rFonts w:eastAsiaTheme="minorEastAsia"/>
        </w:rPr>
        <w:t>;</w:t>
      </w:r>
      <w:r w:rsidRPr="333B87A2">
        <w:rPr>
          <w:rFonts w:eastAsiaTheme="minorEastAsia"/>
        </w:rPr>
        <w:t xml:space="preserve"> however it is not equipped to</w:t>
      </w:r>
      <w:r w:rsidR="004675C0">
        <w:rPr>
          <w:rFonts w:eastAsiaTheme="minorEastAsia"/>
        </w:rPr>
        <w:t xml:space="preserve"> </w:t>
      </w:r>
      <w:r w:rsidR="00283178">
        <w:rPr>
          <w:rFonts w:eastAsiaTheme="minorEastAsia"/>
        </w:rPr>
        <w:t xml:space="preserve">serve </w:t>
      </w:r>
      <w:r w:rsidR="00E069AE">
        <w:rPr>
          <w:rFonts w:eastAsiaTheme="minorEastAsia"/>
        </w:rPr>
        <w:t>individuals with</w:t>
      </w:r>
      <w:r w:rsidR="00CB4A95">
        <w:rPr>
          <w:rFonts w:eastAsiaTheme="minorEastAsia"/>
        </w:rPr>
        <w:t xml:space="preserve"> visual</w:t>
      </w:r>
      <w:r w:rsidR="00E069AE">
        <w:rPr>
          <w:rFonts w:eastAsiaTheme="minorEastAsia"/>
        </w:rPr>
        <w:t xml:space="preserve"> disabilities.</w:t>
      </w:r>
      <w:r w:rsidRPr="333B87A2">
        <w:rPr>
          <w:rFonts w:eastAsiaTheme="minorEastAsia"/>
        </w:rPr>
        <w:t xml:space="preserve"> Minnesota’s ELL centers/programs are very limited, under-funded, and in need </w:t>
      </w:r>
      <w:r w:rsidR="00767569">
        <w:rPr>
          <w:rFonts w:eastAsiaTheme="minorEastAsia"/>
        </w:rPr>
        <w:t>of</w:t>
      </w:r>
      <w:r w:rsidRPr="333B87A2">
        <w:rPr>
          <w:rFonts w:eastAsiaTheme="minorEastAsia"/>
        </w:rPr>
        <w:t xml:space="preserve"> resources to learn, set-up, and provide accommodation, needs, and services to Minnesota’s growing blind, visually impaired, and </w:t>
      </w:r>
      <w:r w:rsidR="00B20A4D">
        <w:rPr>
          <w:rFonts w:eastAsiaTheme="minorEastAsia"/>
        </w:rPr>
        <w:t>D</w:t>
      </w:r>
      <w:r w:rsidRPr="333B87A2">
        <w:rPr>
          <w:rFonts w:eastAsiaTheme="minorEastAsia"/>
        </w:rPr>
        <w:t>eaf</w:t>
      </w:r>
      <w:r w:rsidR="00B20A4D">
        <w:rPr>
          <w:rFonts w:eastAsiaTheme="minorEastAsia"/>
        </w:rPr>
        <w:t>B</w:t>
      </w:r>
      <w:r w:rsidRPr="333B87A2">
        <w:rPr>
          <w:rFonts w:eastAsiaTheme="minorEastAsia"/>
        </w:rPr>
        <w:t xml:space="preserve">lind customers </w:t>
      </w:r>
      <w:r w:rsidR="00767569">
        <w:rPr>
          <w:rFonts w:eastAsiaTheme="minorEastAsia"/>
        </w:rPr>
        <w:t>needing</w:t>
      </w:r>
      <w:r w:rsidRPr="333B87A2">
        <w:rPr>
          <w:rFonts w:eastAsiaTheme="minorEastAsia"/>
        </w:rPr>
        <w:t xml:space="preserve"> ELL programs that can provide them the disability accommodations they </w:t>
      </w:r>
      <w:r w:rsidR="00767569">
        <w:rPr>
          <w:rFonts w:eastAsiaTheme="minorEastAsia"/>
        </w:rPr>
        <w:t>require</w:t>
      </w:r>
      <w:r w:rsidR="00767569" w:rsidRPr="333B87A2">
        <w:rPr>
          <w:rFonts w:eastAsiaTheme="minorEastAsia"/>
        </w:rPr>
        <w:t xml:space="preserve"> </w:t>
      </w:r>
      <w:r w:rsidRPr="333B87A2">
        <w:rPr>
          <w:rFonts w:eastAsiaTheme="minorEastAsia"/>
        </w:rPr>
        <w:t xml:space="preserve">to be successful. The unique dual needs of learning ATB skills (adaptive way to access print) while learning beginning level ELL skills is missing from 2 out of the 3 ATB centers offered in Minnesota. The need is great for students to continue learning adaptive daily skills while learning ELL skills. Minnesota </w:t>
      </w:r>
      <w:r w:rsidR="00767569">
        <w:rPr>
          <w:rFonts w:eastAsiaTheme="minorEastAsia"/>
        </w:rPr>
        <w:t>should have</w:t>
      </w:r>
      <w:r w:rsidRPr="333B87A2">
        <w:rPr>
          <w:rFonts w:eastAsiaTheme="minorEastAsia"/>
        </w:rPr>
        <w:t xml:space="preserve"> more ABE centers </w:t>
      </w:r>
      <w:r w:rsidR="005C000D">
        <w:rPr>
          <w:rFonts w:eastAsiaTheme="minorEastAsia"/>
        </w:rPr>
        <w:t xml:space="preserve">that </w:t>
      </w:r>
      <w:r w:rsidR="00897854">
        <w:rPr>
          <w:rFonts w:eastAsiaTheme="minorEastAsia"/>
        </w:rPr>
        <w:t xml:space="preserve">are able to </w:t>
      </w:r>
      <w:r w:rsidRPr="333B87A2">
        <w:rPr>
          <w:rFonts w:eastAsiaTheme="minorEastAsia"/>
        </w:rPr>
        <w:t xml:space="preserve">provide ELL classes </w:t>
      </w:r>
      <w:r w:rsidR="0085683B">
        <w:rPr>
          <w:rFonts w:eastAsiaTheme="minorEastAsia"/>
        </w:rPr>
        <w:t xml:space="preserve">with </w:t>
      </w:r>
      <w:r w:rsidR="002F4A84">
        <w:rPr>
          <w:rFonts w:eastAsiaTheme="minorEastAsia"/>
        </w:rPr>
        <w:t xml:space="preserve">braille </w:t>
      </w:r>
      <w:r w:rsidRPr="333B87A2">
        <w:rPr>
          <w:rFonts w:eastAsiaTheme="minorEastAsia"/>
        </w:rPr>
        <w:t>for blind, visually impaired, and DeafBlind students</w:t>
      </w:r>
      <w:r w:rsidR="00C3776B">
        <w:rPr>
          <w:rFonts w:eastAsiaTheme="minorEastAsia"/>
        </w:rPr>
        <w:t xml:space="preserve"> to meet the </w:t>
      </w:r>
      <w:r w:rsidR="00767569">
        <w:rPr>
          <w:rFonts w:eastAsiaTheme="minorEastAsia"/>
        </w:rPr>
        <w:t xml:space="preserve">growing </w:t>
      </w:r>
      <w:r w:rsidR="00C3776B">
        <w:rPr>
          <w:rFonts w:eastAsiaTheme="minorEastAsia"/>
        </w:rPr>
        <w:t>needs</w:t>
      </w:r>
      <w:r w:rsidRPr="333B87A2">
        <w:rPr>
          <w:rFonts w:eastAsiaTheme="minorEastAsia"/>
        </w:rPr>
        <w:t xml:space="preserve">. </w:t>
      </w:r>
    </w:p>
    <w:p w14:paraId="402EB877" w14:textId="392BF911" w:rsidR="231FFF58" w:rsidRDefault="231FFF58" w:rsidP="00114927">
      <w:pPr>
        <w:rPr>
          <w:rFonts w:eastAsiaTheme="minorEastAsia"/>
        </w:rPr>
      </w:pPr>
      <w:r w:rsidRPr="333B87A2">
        <w:rPr>
          <w:rFonts w:eastAsiaTheme="minorEastAsia"/>
        </w:rPr>
        <w:t xml:space="preserve"> </w:t>
      </w:r>
    </w:p>
    <w:p w14:paraId="687C89C8" w14:textId="77777777" w:rsidR="00D0706C" w:rsidRPr="006C6124" w:rsidRDefault="00D0706C" w:rsidP="00114927">
      <w:pPr>
        <w:spacing w:before="240"/>
        <w:contextualSpacing/>
        <w:outlineLvl w:val="0"/>
        <w:rPr>
          <w:rFonts w:ascii="Calibri" w:eastAsiaTheme="minorEastAsia" w:hAnsi="Calibri" w:cs="Calibri"/>
        </w:rPr>
      </w:pPr>
    </w:p>
    <w:p w14:paraId="0CBE9D45" w14:textId="77777777" w:rsidR="00D0706C" w:rsidRPr="006C6124" w:rsidRDefault="00D0706C">
      <w:pPr>
        <w:numPr>
          <w:ilvl w:val="0"/>
          <w:numId w:val="15"/>
        </w:numPr>
        <w:spacing w:before="240" w:after="5" w:line="250" w:lineRule="auto"/>
        <w:ind w:right="51"/>
        <w:contextualSpacing/>
        <w:outlineLvl w:val="0"/>
        <w:rPr>
          <w:rFonts w:ascii="Calibri" w:eastAsiaTheme="minorEastAsia" w:hAnsi="Calibri" w:cs="Calibri"/>
        </w:rPr>
      </w:pPr>
      <w:r w:rsidRPr="006C6124">
        <w:rPr>
          <w:rFonts w:ascii="Calibri" w:eastAsiaTheme="minorEastAsia" w:hAnsi="Calibri" w:cs="Calibri"/>
        </w:rPr>
        <w:t>Individuals with disabilities served through other components of the workforce development system; and</w:t>
      </w:r>
    </w:p>
    <w:p w14:paraId="07A40ADB" w14:textId="5B5714B8" w:rsidR="00D0706C" w:rsidRDefault="00D0706C" w:rsidP="00D0706C">
      <w:pPr>
        <w:spacing w:before="240"/>
        <w:ind w:left="864" w:firstLine="144"/>
        <w:contextualSpacing/>
        <w:outlineLvl w:val="0"/>
        <w:rPr>
          <w:rFonts w:ascii="Calibri" w:eastAsiaTheme="minorEastAsia" w:hAnsi="Calibri" w:cs="Calibri"/>
        </w:rPr>
      </w:pPr>
    </w:p>
    <w:p w14:paraId="1E6BAF8F" w14:textId="77777777" w:rsidR="00972916" w:rsidRDefault="00972916" w:rsidP="00D0706C">
      <w:pPr>
        <w:spacing w:before="240"/>
        <w:ind w:left="864" w:firstLine="144"/>
        <w:contextualSpacing/>
        <w:outlineLvl w:val="0"/>
        <w:rPr>
          <w:rFonts w:ascii="Calibri" w:eastAsiaTheme="minorEastAsia" w:hAnsi="Calibri" w:cs="Calibri"/>
        </w:rPr>
      </w:pPr>
    </w:p>
    <w:p w14:paraId="21A8D615" w14:textId="23147A73" w:rsidR="00E06FEE" w:rsidRPr="00E06FEE" w:rsidRDefault="00E06FEE" w:rsidP="00E06FEE">
      <w:pPr>
        <w:spacing w:before="240"/>
        <w:contextualSpacing/>
        <w:outlineLvl w:val="0"/>
        <w:rPr>
          <w:rFonts w:ascii="Calibri" w:eastAsiaTheme="minorEastAsia" w:hAnsi="Calibri" w:cs="Calibri"/>
        </w:rPr>
      </w:pPr>
      <w:r w:rsidRPr="00E06FEE">
        <w:rPr>
          <w:rFonts w:ascii="Calibri" w:eastAsiaTheme="minorEastAsia" w:hAnsi="Calibri" w:cs="Calibri"/>
        </w:rPr>
        <w:t xml:space="preserve">Blind, </w:t>
      </w:r>
      <w:r w:rsidR="00DC0D37">
        <w:rPr>
          <w:rFonts w:ascii="Calibri" w:eastAsiaTheme="minorEastAsia" w:hAnsi="Calibri" w:cs="Calibri"/>
        </w:rPr>
        <w:t>v</w:t>
      </w:r>
      <w:r w:rsidRPr="00E06FEE">
        <w:rPr>
          <w:rFonts w:ascii="Calibri" w:eastAsiaTheme="minorEastAsia" w:hAnsi="Calibri" w:cs="Calibri"/>
        </w:rPr>
        <w:t xml:space="preserve">isually </w:t>
      </w:r>
      <w:r w:rsidR="00DC0D37">
        <w:rPr>
          <w:rFonts w:ascii="Calibri" w:eastAsiaTheme="minorEastAsia" w:hAnsi="Calibri" w:cs="Calibri"/>
        </w:rPr>
        <w:t>i</w:t>
      </w:r>
      <w:r w:rsidRPr="00E06FEE">
        <w:rPr>
          <w:rFonts w:ascii="Calibri" w:eastAsiaTheme="minorEastAsia" w:hAnsi="Calibri" w:cs="Calibri"/>
        </w:rPr>
        <w:t xml:space="preserve">mpaired, and DeafBlind individuals are served in all components of the workforce development system, both as universal customers and in eligibility-based programs. </w:t>
      </w:r>
      <w:r w:rsidR="00CA551B">
        <w:rPr>
          <w:rFonts w:ascii="Calibri" w:eastAsiaTheme="minorEastAsia" w:hAnsi="Calibri" w:cs="Calibri"/>
        </w:rPr>
        <w:t>In Minnesota, we call this system CareerForce, while other states refer to this as the American Job Centers.</w:t>
      </w:r>
      <w:r w:rsidRPr="00E06FEE">
        <w:rPr>
          <w:rFonts w:ascii="Calibri" w:eastAsiaTheme="minorEastAsia" w:hAnsi="Calibri" w:cs="Calibri"/>
        </w:rPr>
        <w:t xml:space="preserve"> In Minnesota, universal customers are served by CareerForce</w:t>
      </w:r>
      <w:r w:rsidR="00C40492">
        <w:rPr>
          <w:rFonts w:ascii="Calibri" w:eastAsiaTheme="minorEastAsia" w:hAnsi="Calibri" w:cs="Calibri"/>
        </w:rPr>
        <w:t xml:space="preserve"> partners, including the WIOA Title I and III programs in the local workforce development areas</w:t>
      </w:r>
      <w:r w:rsidRPr="00E06FEE">
        <w:rPr>
          <w:rFonts w:ascii="Calibri" w:eastAsiaTheme="minorEastAsia" w:hAnsi="Calibri" w:cs="Calibri"/>
        </w:rPr>
        <w:t>. There are close to 50 CareerForce locations throughout the state offering classes, workshops, pre-employment services, etc.  SSB has a presence in 6 CareerForce locations with 10 SSB Workforce Development Unit (WDU) staff officed in CareerForce locations. A small percentage of the individuals who utilize the CareerForce locations are blind, visually impaired, or DeafBlind. A SSB recent analysis of referrals from CareerForce Centers from Program Year 2020 to 2022 revealed only 2 verified referrals.</w:t>
      </w:r>
      <w:r w:rsidR="00F91F1C">
        <w:rPr>
          <w:rFonts w:ascii="Calibri" w:eastAsiaTheme="minorEastAsia" w:hAnsi="Calibri" w:cs="Calibri"/>
        </w:rPr>
        <w:t xml:space="preserve"> </w:t>
      </w:r>
    </w:p>
    <w:p w14:paraId="3B411C2C" w14:textId="089D2FE6" w:rsidR="00D0706C" w:rsidRPr="006C6124" w:rsidRDefault="00E06FEE" w:rsidP="00FE52E1">
      <w:pPr>
        <w:spacing w:before="240" w:after="360"/>
        <w:outlineLvl w:val="0"/>
        <w:rPr>
          <w:rFonts w:ascii="Calibri" w:eastAsiaTheme="minorEastAsia" w:hAnsi="Calibri" w:cs="Calibri"/>
        </w:rPr>
      </w:pPr>
      <w:r w:rsidRPr="00E06FEE">
        <w:rPr>
          <w:rFonts w:ascii="Calibri" w:eastAsiaTheme="minorEastAsia" w:hAnsi="Calibri" w:cs="Calibri"/>
        </w:rPr>
        <w:t>Although CareerForce Centers are available and the</w:t>
      </w:r>
      <w:r>
        <w:rPr>
          <w:rFonts w:ascii="Calibri" w:eastAsiaTheme="minorEastAsia" w:hAnsi="Calibri" w:cs="Calibri"/>
        </w:rPr>
        <w:t>ir use</w:t>
      </w:r>
      <w:r w:rsidRPr="00E06FEE">
        <w:rPr>
          <w:rFonts w:ascii="Calibri" w:eastAsiaTheme="minorEastAsia" w:hAnsi="Calibri" w:cs="Calibri"/>
        </w:rPr>
        <w:t xml:space="preserve"> is encouraged, many individuals who are blind, visually impaired, or DeafBlind do not feel comfortable utilizing the CareerForce locations and choose to work with SSB directly. Staff at local CareerForce locations often do not have the training or skills to help with the accessible computer systems.  SSB staff are recognized as more knowledgeable in the area</w:t>
      </w:r>
      <w:r w:rsidR="003E58FA">
        <w:rPr>
          <w:rFonts w:ascii="Calibri" w:eastAsiaTheme="minorEastAsia" w:hAnsi="Calibri" w:cs="Calibri"/>
        </w:rPr>
        <w:t>s</w:t>
      </w:r>
      <w:r w:rsidRPr="00E06FEE">
        <w:rPr>
          <w:rFonts w:ascii="Calibri" w:eastAsiaTheme="minorEastAsia" w:hAnsi="Calibri" w:cs="Calibri"/>
        </w:rPr>
        <w:t xml:space="preserve"> of blindness and accessible technology. </w:t>
      </w:r>
      <w:r w:rsidR="00815E57">
        <w:rPr>
          <w:rFonts w:ascii="Calibri" w:eastAsiaTheme="minorEastAsia" w:hAnsi="Calibri" w:cs="Calibri"/>
        </w:rPr>
        <w:t>SSB’s service model is to work directly with individuals in their communities</w:t>
      </w:r>
      <w:r w:rsidR="003E58FA">
        <w:rPr>
          <w:rFonts w:ascii="Calibri" w:eastAsiaTheme="minorEastAsia" w:hAnsi="Calibri" w:cs="Calibri"/>
        </w:rPr>
        <w:t>,</w:t>
      </w:r>
      <w:r w:rsidR="00815E57">
        <w:rPr>
          <w:rFonts w:ascii="Calibri" w:eastAsiaTheme="minorEastAsia" w:hAnsi="Calibri" w:cs="Calibri"/>
        </w:rPr>
        <w:t xml:space="preserve"> at the location of their choosing</w:t>
      </w:r>
      <w:r w:rsidR="003E58FA">
        <w:rPr>
          <w:rFonts w:ascii="Calibri" w:eastAsiaTheme="minorEastAsia" w:hAnsi="Calibri" w:cs="Calibri"/>
        </w:rPr>
        <w:t>,</w:t>
      </w:r>
      <w:r w:rsidR="00815E57">
        <w:rPr>
          <w:rFonts w:ascii="Calibri" w:eastAsiaTheme="minorEastAsia" w:hAnsi="Calibri" w:cs="Calibri"/>
        </w:rPr>
        <w:t xml:space="preserve"> using the method they prefer (whether in-person or virtual). Rarely do individuals show up at a CareerForce location seeking </w:t>
      </w:r>
      <w:r w:rsidR="003E58FA">
        <w:rPr>
          <w:rFonts w:ascii="Calibri" w:eastAsiaTheme="minorEastAsia" w:hAnsi="Calibri" w:cs="Calibri"/>
        </w:rPr>
        <w:t xml:space="preserve">SSB </w:t>
      </w:r>
      <w:r w:rsidR="00815E57">
        <w:rPr>
          <w:rFonts w:ascii="Calibri" w:eastAsiaTheme="minorEastAsia" w:hAnsi="Calibri" w:cs="Calibri"/>
        </w:rPr>
        <w:t xml:space="preserve">services. With transportation being a primary barrier for the vast majority of our customers, the “we come to you” approach is more </w:t>
      </w:r>
      <w:r w:rsidR="004A59DE">
        <w:rPr>
          <w:rFonts w:ascii="Calibri" w:eastAsiaTheme="minorEastAsia" w:hAnsi="Calibri" w:cs="Calibri"/>
        </w:rPr>
        <w:t>customer centric</w:t>
      </w:r>
      <w:r w:rsidR="00815E57">
        <w:rPr>
          <w:rFonts w:ascii="Calibri" w:eastAsiaTheme="minorEastAsia" w:hAnsi="Calibri" w:cs="Calibri"/>
        </w:rPr>
        <w:t xml:space="preserve">.  </w:t>
      </w:r>
    </w:p>
    <w:p w14:paraId="4BE288B1" w14:textId="77777777" w:rsidR="00D0706C" w:rsidRPr="006C6124" w:rsidRDefault="00D0706C">
      <w:pPr>
        <w:numPr>
          <w:ilvl w:val="0"/>
          <w:numId w:val="15"/>
        </w:numPr>
        <w:spacing w:before="240" w:after="5" w:line="250" w:lineRule="auto"/>
        <w:ind w:right="51"/>
        <w:contextualSpacing/>
        <w:outlineLvl w:val="0"/>
        <w:rPr>
          <w:rFonts w:ascii="Calibri" w:eastAsiaTheme="minorEastAsia" w:hAnsi="Calibri" w:cs="Calibri"/>
        </w:rPr>
      </w:pPr>
      <w:r w:rsidRPr="006C6124">
        <w:rPr>
          <w:rFonts w:ascii="Calibri" w:eastAsiaTheme="minorEastAsia" w:hAnsi="Calibri" w:cs="Calibri"/>
        </w:rPr>
        <w:t>Youth with disabilities, including students with disabilities and their need for pre-employment transition services. Include an assessment of the needs of individuals with disabilities for transition career services and pre-employment transition services, and the extent to which such services are coordinated with transition services provided under IDEA.</w:t>
      </w:r>
    </w:p>
    <w:p w14:paraId="1F70B94B" w14:textId="37A039F1" w:rsidR="009231AD" w:rsidRPr="00DE5587" w:rsidRDefault="009231AD" w:rsidP="333B87A2">
      <w:pPr>
        <w:ind w:left="990"/>
        <w:rPr>
          <w:highlight w:val="yellow"/>
        </w:rPr>
      </w:pPr>
    </w:p>
    <w:p w14:paraId="629028FA" w14:textId="29AEC268" w:rsidR="009231AD" w:rsidRPr="00DE5587" w:rsidRDefault="002E0A50" w:rsidP="333B87A2">
      <w:pPr>
        <w:ind w:firstLine="720"/>
      </w:pPr>
      <w:r w:rsidRPr="00DE5587">
        <w:t> </w:t>
      </w:r>
      <w:r w:rsidR="009231AD" w:rsidRPr="00DE5587">
        <w:t> </w:t>
      </w:r>
    </w:p>
    <w:p w14:paraId="4F80F668" w14:textId="0B79A1D8" w:rsidR="009231AD" w:rsidRDefault="009231AD" w:rsidP="009231AD">
      <w:pPr>
        <w:ind w:left="-90"/>
      </w:pPr>
      <w:r w:rsidRPr="00D25997">
        <w:t>An important and unique group of possible customers for State Services for the Blind are students and</w:t>
      </w:r>
      <w:r w:rsidRPr="00DE5587">
        <w:t xml:space="preserve"> youth with disabilities. This category includes students ages fourteen </w:t>
      </w:r>
      <w:r w:rsidR="00450C52">
        <w:t xml:space="preserve">up until their </w:t>
      </w:r>
      <w:r w:rsidR="00D27A72">
        <w:t>22</w:t>
      </w:r>
      <w:r w:rsidR="00D27A72" w:rsidRPr="00D27A72">
        <w:rPr>
          <w:vertAlign w:val="superscript"/>
        </w:rPr>
        <w:t>nd</w:t>
      </w:r>
      <w:r w:rsidR="00D27A72">
        <w:t xml:space="preserve"> birthday </w:t>
      </w:r>
      <w:r w:rsidRPr="00DE5587">
        <w:t>eligible for pre-employment transition services, and youth through age twenty-four.</w:t>
      </w:r>
      <w:r>
        <w:t xml:space="preserve"> </w:t>
      </w:r>
    </w:p>
    <w:p w14:paraId="2179C9BA" w14:textId="77777777" w:rsidR="009231AD" w:rsidRPr="001E4650" w:rsidRDefault="009231AD" w:rsidP="009231AD">
      <w:pPr>
        <w:ind w:left="-90"/>
        <w:rPr>
          <w:rFonts w:ascii="Calibri" w:hAnsi="Calibri" w:cs="Calibri"/>
        </w:rPr>
      </w:pPr>
    </w:p>
    <w:p w14:paraId="583CA528" w14:textId="77777777" w:rsidR="009231AD" w:rsidRPr="001E4650" w:rsidRDefault="009231AD" w:rsidP="009231AD">
      <w:pPr>
        <w:ind w:left="-90"/>
        <w:rPr>
          <w:rFonts w:ascii="Calibri" w:eastAsia="Calibri" w:hAnsi="Calibri" w:cs="Calibri"/>
        </w:rPr>
      </w:pPr>
      <w:r w:rsidRPr="001E4650">
        <w:rPr>
          <w:rFonts w:ascii="Calibri" w:eastAsia="Calibri" w:hAnsi="Calibri" w:cs="Calibri"/>
        </w:rPr>
        <w:t>Minnesota Department of Education (MDE) has indicated in their “Unduplicated Child Count” report for fiscal year 2023 that there are approximately 248 students in secondary education who are blind, visually impaired, or DeafBlind. This number only includes those students whose primary disability is blindness or DeafBlindness.</w:t>
      </w:r>
    </w:p>
    <w:p w14:paraId="2998DF67" w14:textId="77777777" w:rsidR="009231AD" w:rsidRPr="001E4650" w:rsidRDefault="009231AD" w:rsidP="009231AD">
      <w:pPr>
        <w:ind w:left="-90"/>
        <w:rPr>
          <w:rFonts w:ascii="Calibri" w:hAnsi="Calibri" w:cs="Calibri"/>
        </w:rPr>
      </w:pPr>
    </w:p>
    <w:p w14:paraId="2CE13628" w14:textId="66E75E0D" w:rsidR="00C420DD" w:rsidRPr="00C578E0" w:rsidRDefault="00C420DD" w:rsidP="009231AD">
      <w:pPr>
        <w:ind w:left="-90"/>
        <w:rPr>
          <w:rFonts w:ascii="Calibri" w:hAnsi="Calibri" w:cs="Calibri"/>
          <w:i/>
          <w:iCs/>
        </w:rPr>
      </w:pPr>
      <w:r>
        <w:rPr>
          <w:rFonts w:ascii="Calibri" w:hAnsi="Calibri" w:cs="Calibri"/>
          <w:i/>
          <w:iCs/>
        </w:rPr>
        <w:t>Table 1</w:t>
      </w:r>
    </w:p>
    <w:p w14:paraId="68BF2D29" w14:textId="397A5BD5" w:rsidR="009231AD" w:rsidRDefault="009231AD" w:rsidP="009231AD">
      <w:pPr>
        <w:ind w:left="-86"/>
        <w:rPr>
          <w:rFonts w:ascii="Calibri" w:eastAsia="Calibri" w:hAnsi="Calibri" w:cs="Calibri"/>
        </w:rPr>
      </w:pPr>
      <w:r w:rsidRPr="00823A13">
        <w:rPr>
          <w:rFonts w:ascii="Calibri" w:hAnsi="Calibri" w:cs="Calibri"/>
        </w:rPr>
        <w:t xml:space="preserve">Table 1 includes data on the number of Pre-ETS students (Participant and Potentially Eligible) served by SSB in Program Years 2018 through 2022.  </w:t>
      </w:r>
      <w:r>
        <w:rPr>
          <w:rFonts w:ascii="Calibri" w:hAnsi="Calibri" w:cs="Calibri"/>
        </w:rPr>
        <w:t>SSB does not serve a large number of Pre-ETS potentially eligible customers. Overall, we saw a decrease in numbers between 2018 and 2021</w:t>
      </w:r>
      <w:r w:rsidR="003E58FA">
        <w:rPr>
          <w:rFonts w:ascii="Calibri" w:hAnsi="Calibri" w:cs="Calibri"/>
        </w:rPr>
        <w:t>. Since then we</w:t>
      </w:r>
      <w:r>
        <w:rPr>
          <w:rFonts w:ascii="Calibri" w:hAnsi="Calibri" w:cs="Calibri"/>
        </w:rPr>
        <w:t xml:space="preserve"> have started to see a gradual increase from 2021 and are now back to our pre-pandemic levels of customers eligible per year and </w:t>
      </w:r>
      <w:r w:rsidR="003E58FA">
        <w:rPr>
          <w:rFonts w:ascii="Calibri" w:hAnsi="Calibri" w:cs="Calibri"/>
        </w:rPr>
        <w:t>approaching</w:t>
      </w:r>
      <w:r>
        <w:rPr>
          <w:rFonts w:ascii="Calibri" w:hAnsi="Calibri" w:cs="Calibri"/>
        </w:rPr>
        <w:t xml:space="preserve"> our pre-pandemic numbers of customers served per year. It is worth noting that in PY2020</w:t>
      </w:r>
      <w:r w:rsidR="003E58FA">
        <w:rPr>
          <w:rFonts w:ascii="Calibri" w:hAnsi="Calibri" w:cs="Calibri"/>
        </w:rPr>
        <w:t>,</w:t>
      </w:r>
      <w:r>
        <w:rPr>
          <w:rFonts w:ascii="Calibri" w:hAnsi="Calibri" w:cs="Calibri"/>
        </w:rPr>
        <w:t xml:space="preserve"> although the number served decreased, the number of Pre-ETS participants increased and </w:t>
      </w:r>
      <w:r w:rsidR="00E213FA">
        <w:rPr>
          <w:rFonts w:ascii="Calibri" w:hAnsi="Calibri" w:cs="Calibri"/>
        </w:rPr>
        <w:t>that trend continues</w:t>
      </w:r>
      <w:r>
        <w:rPr>
          <w:rFonts w:ascii="Calibri" w:hAnsi="Calibri" w:cs="Calibri"/>
        </w:rPr>
        <w:t xml:space="preserve">.  We believe this is a testament to the adaptability and creativity of our staff who began offering a wide variety of virtual programming. </w:t>
      </w:r>
      <w:r w:rsidR="7B43DB52" w:rsidRPr="333B87A2">
        <w:rPr>
          <w:rFonts w:ascii="Calibri" w:hAnsi="Calibri" w:cs="Calibri"/>
        </w:rPr>
        <w:t>Note that t</w:t>
      </w:r>
      <w:r w:rsidR="7B43DB52" w:rsidRPr="333B87A2">
        <w:rPr>
          <w:rFonts w:ascii="Calibri" w:eastAsia="Calibri" w:hAnsi="Calibri" w:cs="Calibri"/>
        </w:rPr>
        <w:t>he data is a snapshot in time and actual numbers may vary plus or minus a few students.</w:t>
      </w:r>
    </w:p>
    <w:p w14:paraId="50E0D81D" w14:textId="77777777" w:rsidR="00C420DD" w:rsidRDefault="00C420DD" w:rsidP="009231AD">
      <w:pPr>
        <w:ind w:left="-86"/>
        <w:rPr>
          <w:rFonts w:ascii="Calibri" w:eastAsia="Calibri" w:hAnsi="Calibri" w:cs="Calibri"/>
          <w:i/>
          <w:iCs/>
        </w:rPr>
      </w:pPr>
    </w:p>
    <w:p w14:paraId="09346753" w14:textId="6AF75D44" w:rsidR="009231AD" w:rsidRPr="00823A13" w:rsidRDefault="009231AD" w:rsidP="009231AD">
      <w:pPr>
        <w:ind w:left="-90"/>
        <w:rPr>
          <w:rFonts w:ascii="Calibri" w:hAnsi="Calibri" w:cs="Calibri"/>
        </w:rPr>
      </w:pPr>
      <w:r>
        <w:rPr>
          <w:rFonts w:ascii="Calibri" w:hAnsi="Calibri" w:cs="Calibri"/>
        </w:rPr>
        <w:t xml:space="preserve"> </w:t>
      </w:r>
    </w:p>
    <w:tbl>
      <w:tblPr>
        <w:tblW w:w="4384" w:type="pct"/>
        <w:tblCellMar>
          <w:left w:w="0" w:type="dxa"/>
          <w:right w:w="0" w:type="dxa"/>
        </w:tblCellMar>
        <w:tblLook w:val="04A0" w:firstRow="1" w:lastRow="0" w:firstColumn="1" w:lastColumn="0" w:noHBand="0" w:noVBand="1"/>
      </w:tblPr>
      <w:tblGrid>
        <w:gridCol w:w="3711"/>
        <w:gridCol w:w="1117"/>
        <w:gridCol w:w="1117"/>
        <w:gridCol w:w="1117"/>
        <w:gridCol w:w="1117"/>
        <w:gridCol w:w="1115"/>
      </w:tblGrid>
      <w:tr w:rsidR="009231AD" w:rsidRPr="00392245" w14:paraId="390AE3D5" w14:textId="77777777" w:rsidTr="3BEC22A5">
        <w:trPr>
          <w:cantSplit/>
          <w:trHeight w:val="274"/>
          <w:tblHeader/>
        </w:trPr>
        <w:tc>
          <w:tcPr>
            <w:tcW w:w="199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14:paraId="3A6C7E12" w14:textId="77777777" w:rsidR="009231AD" w:rsidRPr="00823A13" w:rsidRDefault="009231AD" w:rsidP="00D8379E">
            <w:pPr>
              <w:ind w:left="-90"/>
              <w:rPr>
                <w:rFonts w:ascii="Calibri" w:hAnsi="Calibri" w:cs="Calibri"/>
              </w:rPr>
            </w:pP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14:paraId="6F2D44BD" w14:textId="77777777" w:rsidR="009231AD" w:rsidRPr="00823A13" w:rsidRDefault="009231AD" w:rsidP="00D8379E">
            <w:pPr>
              <w:ind w:left="-90"/>
              <w:rPr>
                <w:rFonts w:ascii="Calibri" w:hAnsi="Calibri" w:cs="Calibri"/>
              </w:rPr>
            </w:pPr>
            <w:r w:rsidRPr="00823A13">
              <w:rPr>
                <w:rFonts w:ascii="Calibri" w:hAnsi="Calibri" w:cs="Calibri"/>
              </w:rPr>
              <w:t>PY2018</w:t>
            </w: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14:paraId="36B2FC73" w14:textId="77777777" w:rsidR="009231AD" w:rsidRPr="00823A13" w:rsidRDefault="009231AD" w:rsidP="00D8379E">
            <w:pPr>
              <w:ind w:left="-90"/>
              <w:rPr>
                <w:rFonts w:ascii="Calibri" w:hAnsi="Calibri" w:cs="Calibri"/>
              </w:rPr>
            </w:pPr>
            <w:r w:rsidRPr="00823A13">
              <w:rPr>
                <w:rFonts w:ascii="Calibri" w:hAnsi="Calibri" w:cs="Calibri"/>
              </w:rPr>
              <w:t>PY2019</w:t>
            </w: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14:paraId="0B8B8FF0" w14:textId="77777777" w:rsidR="009231AD" w:rsidRPr="00823A13" w:rsidRDefault="009231AD" w:rsidP="00D8379E">
            <w:pPr>
              <w:ind w:left="-90"/>
              <w:rPr>
                <w:rFonts w:ascii="Calibri" w:hAnsi="Calibri" w:cs="Calibri"/>
              </w:rPr>
            </w:pPr>
            <w:r w:rsidRPr="00823A13">
              <w:rPr>
                <w:rFonts w:ascii="Calibri" w:hAnsi="Calibri" w:cs="Calibri"/>
              </w:rPr>
              <w:t>PY2020</w:t>
            </w: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14:paraId="041D9A98" w14:textId="77777777" w:rsidR="009231AD" w:rsidRPr="00823A13" w:rsidRDefault="009231AD" w:rsidP="00D8379E">
            <w:pPr>
              <w:ind w:left="-90"/>
              <w:rPr>
                <w:rFonts w:ascii="Calibri" w:hAnsi="Calibri" w:cs="Calibri"/>
              </w:rPr>
            </w:pPr>
            <w:r w:rsidRPr="00823A13">
              <w:rPr>
                <w:rFonts w:ascii="Calibri" w:hAnsi="Calibri" w:cs="Calibri"/>
              </w:rPr>
              <w:t>PY2021</w:t>
            </w:r>
          </w:p>
        </w:tc>
        <w:tc>
          <w:tcPr>
            <w:tcW w:w="600"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hideMark/>
          </w:tcPr>
          <w:p w14:paraId="7EC079BA" w14:textId="77777777" w:rsidR="009231AD" w:rsidRPr="00823A13" w:rsidRDefault="009231AD" w:rsidP="00D8379E">
            <w:pPr>
              <w:ind w:left="-90"/>
              <w:rPr>
                <w:rFonts w:ascii="Calibri" w:hAnsi="Calibri" w:cs="Calibri"/>
              </w:rPr>
            </w:pPr>
            <w:r w:rsidRPr="00823A13">
              <w:rPr>
                <w:rFonts w:ascii="Calibri" w:hAnsi="Calibri" w:cs="Calibri"/>
              </w:rPr>
              <w:t>PY2022</w:t>
            </w:r>
          </w:p>
        </w:tc>
      </w:tr>
      <w:tr w:rsidR="0006697A" w:rsidRPr="00392245" w14:paraId="20969B9E" w14:textId="77777777" w:rsidTr="0006697A">
        <w:trPr>
          <w:cantSplit/>
          <w:trHeight w:val="274"/>
          <w:tblHeader/>
        </w:trPr>
        <w:tc>
          <w:tcPr>
            <w:tcW w:w="1996"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tcPr>
          <w:p w14:paraId="6B231190" w14:textId="00A02C6D" w:rsidR="00452923" w:rsidRPr="00823A13" w:rsidRDefault="00452923" w:rsidP="00452923">
            <w:pPr>
              <w:ind w:left="-90"/>
              <w:rPr>
                <w:rFonts w:ascii="Calibri" w:hAnsi="Calibri" w:cs="Calibri"/>
              </w:rPr>
            </w:pPr>
            <w:r w:rsidRPr="3BEC22A5">
              <w:rPr>
                <w:rFonts w:ascii="Calibri" w:hAnsi="Calibri" w:cs="Calibri"/>
              </w:rPr>
              <w:t>Number of Individuals Determined Eligible</w:t>
            </w: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vAlign w:val="center"/>
          </w:tcPr>
          <w:p w14:paraId="3B65AE8F" w14:textId="1BD4F6EA" w:rsidR="00452923" w:rsidRPr="00823A13" w:rsidRDefault="00452923" w:rsidP="00452923">
            <w:pPr>
              <w:ind w:left="-90"/>
              <w:rPr>
                <w:rFonts w:ascii="Calibri" w:hAnsi="Calibri" w:cs="Calibri"/>
              </w:rPr>
            </w:pPr>
            <w:r w:rsidRPr="79778830">
              <w:rPr>
                <w:rFonts w:ascii="Calibri" w:hAnsi="Calibri" w:cs="Calibri"/>
              </w:rPr>
              <w:t>224</w:t>
            </w: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vAlign w:val="center"/>
          </w:tcPr>
          <w:p w14:paraId="46E6777F" w14:textId="54113404" w:rsidR="00452923" w:rsidRPr="00823A13" w:rsidRDefault="00452923" w:rsidP="00452923">
            <w:pPr>
              <w:ind w:left="-90"/>
              <w:rPr>
                <w:rFonts w:ascii="Calibri" w:hAnsi="Calibri" w:cs="Calibri"/>
              </w:rPr>
            </w:pPr>
            <w:r w:rsidRPr="79778830">
              <w:rPr>
                <w:rFonts w:ascii="Calibri" w:hAnsi="Calibri" w:cs="Calibri"/>
              </w:rPr>
              <w:t>176</w:t>
            </w: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vAlign w:val="center"/>
          </w:tcPr>
          <w:p w14:paraId="12830AEC" w14:textId="33056DF6" w:rsidR="00452923" w:rsidRPr="00823A13" w:rsidRDefault="00452923" w:rsidP="00452923">
            <w:pPr>
              <w:ind w:left="-90"/>
              <w:rPr>
                <w:rFonts w:ascii="Calibri" w:hAnsi="Calibri" w:cs="Calibri"/>
              </w:rPr>
            </w:pPr>
            <w:r w:rsidRPr="79778830">
              <w:rPr>
                <w:rFonts w:ascii="Calibri" w:hAnsi="Calibri" w:cs="Calibri"/>
              </w:rPr>
              <w:t>191</w:t>
            </w:r>
          </w:p>
        </w:tc>
        <w:tc>
          <w:tcPr>
            <w:tcW w:w="601"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vAlign w:val="center"/>
          </w:tcPr>
          <w:p w14:paraId="4846B3A9" w14:textId="725832C2" w:rsidR="00452923" w:rsidRPr="00823A13" w:rsidRDefault="00452923" w:rsidP="00452923">
            <w:pPr>
              <w:ind w:left="-90"/>
              <w:rPr>
                <w:rFonts w:ascii="Calibri" w:hAnsi="Calibri" w:cs="Calibri"/>
              </w:rPr>
            </w:pPr>
            <w:r w:rsidRPr="79778830">
              <w:rPr>
                <w:rFonts w:ascii="Calibri" w:hAnsi="Calibri" w:cs="Calibri"/>
              </w:rPr>
              <w:t>210</w:t>
            </w:r>
          </w:p>
        </w:tc>
        <w:tc>
          <w:tcPr>
            <w:tcW w:w="600" w:type="pc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Mar>
              <w:top w:w="0" w:type="dxa"/>
              <w:left w:w="108" w:type="dxa"/>
              <w:bottom w:w="0" w:type="dxa"/>
              <w:right w:w="108" w:type="dxa"/>
            </w:tcMar>
            <w:vAlign w:val="center"/>
          </w:tcPr>
          <w:p w14:paraId="5B672F83" w14:textId="3CA025C0" w:rsidR="00452923" w:rsidRPr="00823A13" w:rsidRDefault="00452923" w:rsidP="00452923">
            <w:pPr>
              <w:ind w:left="-90"/>
              <w:rPr>
                <w:rFonts w:ascii="Calibri" w:hAnsi="Calibri" w:cs="Calibri"/>
              </w:rPr>
            </w:pPr>
            <w:r w:rsidRPr="79778830">
              <w:rPr>
                <w:rFonts w:ascii="Calibri" w:hAnsi="Calibri" w:cs="Calibri"/>
              </w:rPr>
              <w:t>260</w:t>
            </w:r>
          </w:p>
        </w:tc>
      </w:tr>
      <w:tr w:rsidR="009231AD" w:rsidRPr="00BF25FD" w14:paraId="750D2FED" w14:textId="77777777" w:rsidTr="3BEC22A5">
        <w:trPr>
          <w:cantSplit/>
          <w:trHeight w:val="274"/>
        </w:trPr>
        <w:tc>
          <w:tcPr>
            <w:tcW w:w="1996"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hideMark/>
          </w:tcPr>
          <w:p w14:paraId="71D3479B" w14:textId="19613559" w:rsidR="009231AD" w:rsidRPr="00823A13" w:rsidRDefault="009231AD" w:rsidP="00D8379E">
            <w:pPr>
              <w:ind w:left="-90"/>
              <w:rPr>
                <w:rFonts w:ascii="Calibri" w:hAnsi="Calibri" w:cs="Calibri"/>
              </w:rPr>
            </w:pPr>
            <w:r w:rsidRPr="79778830">
              <w:rPr>
                <w:rFonts w:ascii="Calibri" w:hAnsi="Calibri" w:cs="Calibri"/>
              </w:rPr>
              <w:t xml:space="preserve">Number </w:t>
            </w:r>
            <w:r w:rsidR="00C94687" w:rsidRPr="79778830">
              <w:rPr>
                <w:rFonts w:ascii="Calibri" w:hAnsi="Calibri" w:cs="Calibri"/>
              </w:rPr>
              <w:t xml:space="preserve">of Total Participants </w:t>
            </w:r>
            <w:r w:rsidR="00520AFF" w:rsidRPr="79778830">
              <w:rPr>
                <w:rFonts w:ascii="Calibri" w:hAnsi="Calibri" w:cs="Calibri"/>
              </w:rPr>
              <w:t>With an IPE</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14:paraId="516EEE5B" w14:textId="77777777" w:rsidR="009231AD" w:rsidRPr="00823A13" w:rsidRDefault="009231AD" w:rsidP="00D8379E">
            <w:pPr>
              <w:ind w:left="-90"/>
              <w:rPr>
                <w:rFonts w:ascii="Calibri" w:hAnsi="Calibri" w:cs="Calibri"/>
              </w:rPr>
            </w:pPr>
            <w:r w:rsidRPr="00823A13">
              <w:rPr>
                <w:rFonts w:ascii="Calibri" w:hAnsi="Calibri" w:cs="Calibri"/>
              </w:rPr>
              <w:t>913</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14:paraId="27BB0C60" w14:textId="77777777" w:rsidR="009231AD" w:rsidRPr="00823A13" w:rsidRDefault="009231AD" w:rsidP="00D8379E">
            <w:pPr>
              <w:ind w:left="-90"/>
              <w:rPr>
                <w:rFonts w:ascii="Calibri" w:hAnsi="Calibri" w:cs="Calibri"/>
              </w:rPr>
            </w:pPr>
            <w:r w:rsidRPr="00823A13">
              <w:rPr>
                <w:rFonts w:ascii="Calibri" w:hAnsi="Calibri" w:cs="Calibri"/>
              </w:rPr>
              <w:t>870</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14:paraId="4DD68741" w14:textId="77777777" w:rsidR="009231AD" w:rsidRPr="00823A13" w:rsidRDefault="009231AD" w:rsidP="00D8379E">
            <w:pPr>
              <w:ind w:left="-90"/>
              <w:rPr>
                <w:rFonts w:ascii="Calibri" w:hAnsi="Calibri" w:cs="Calibri"/>
              </w:rPr>
            </w:pPr>
            <w:r w:rsidRPr="00823A13">
              <w:rPr>
                <w:rFonts w:ascii="Calibri" w:hAnsi="Calibri" w:cs="Calibri"/>
              </w:rPr>
              <w:t>815</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14:paraId="3A0FB449" w14:textId="77777777" w:rsidR="009231AD" w:rsidRPr="00823A13" w:rsidRDefault="009231AD" w:rsidP="00D8379E">
            <w:pPr>
              <w:ind w:left="-90"/>
              <w:rPr>
                <w:rFonts w:ascii="Calibri" w:hAnsi="Calibri" w:cs="Calibri"/>
              </w:rPr>
            </w:pPr>
            <w:r w:rsidRPr="00823A13">
              <w:rPr>
                <w:rFonts w:ascii="Calibri" w:hAnsi="Calibri" w:cs="Calibri"/>
              </w:rPr>
              <w:t>834</w:t>
            </w:r>
          </w:p>
        </w:tc>
        <w:tc>
          <w:tcPr>
            <w:tcW w:w="600"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hideMark/>
          </w:tcPr>
          <w:p w14:paraId="07842F09" w14:textId="77777777" w:rsidR="009231AD" w:rsidRPr="00823A13" w:rsidRDefault="009231AD" w:rsidP="00D8379E">
            <w:pPr>
              <w:ind w:left="-90"/>
              <w:rPr>
                <w:rFonts w:ascii="Calibri" w:hAnsi="Calibri" w:cs="Calibri"/>
              </w:rPr>
            </w:pPr>
            <w:r w:rsidRPr="00823A13">
              <w:rPr>
                <w:rFonts w:ascii="Calibri" w:hAnsi="Calibri" w:cs="Calibri"/>
              </w:rPr>
              <w:t>847</w:t>
            </w:r>
          </w:p>
        </w:tc>
      </w:tr>
      <w:tr w:rsidR="00520AFF" w:rsidRPr="00BF25FD" w14:paraId="3158CF2A" w14:textId="77777777" w:rsidTr="3BEC22A5">
        <w:trPr>
          <w:cantSplit/>
          <w:trHeight w:val="274"/>
        </w:trPr>
        <w:tc>
          <w:tcPr>
            <w:tcW w:w="1996"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tcPr>
          <w:p w14:paraId="7E7EA9A0" w14:textId="78C97AD4" w:rsidR="00520AFF" w:rsidRPr="00823A13" w:rsidRDefault="00FD17BA" w:rsidP="00520AFF">
            <w:pPr>
              <w:ind w:left="-90"/>
              <w:rPr>
                <w:rFonts w:ascii="Calibri" w:hAnsi="Calibri" w:cs="Calibri"/>
              </w:rPr>
            </w:pPr>
            <w:r w:rsidRPr="79778830">
              <w:rPr>
                <w:rFonts w:ascii="Calibri" w:hAnsi="Calibri" w:cs="Calibri"/>
              </w:rPr>
              <w:lastRenderedPageBreak/>
              <w:t>**</w:t>
            </w:r>
            <w:r w:rsidR="00520AFF" w:rsidRPr="79778830">
              <w:rPr>
                <w:rFonts w:ascii="Calibri" w:hAnsi="Calibri" w:cs="Calibri"/>
              </w:rPr>
              <w:t>Number of Pre-ETS Potentially Eligible Students with a Di</w:t>
            </w:r>
            <w:r w:rsidR="00452923" w:rsidRPr="79778830">
              <w:rPr>
                <w:rFonts w:ascii="Calibri" w:hAnsi="Calibri" w:cs="Calibri"/>
              </w:rPr>
              <w:t>s</w:t>
            </w:r>
            <w:r w:rsidR="00520AFF" w:rsidRPr="79778830">
              <w:rPr>
                <w:rFonts w:ascii="Calibri" w:hAnsi="Calibri" w:cs="Calibri"/>
              </w:rPr>
              <w:t>ability</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5C3E4F4B" w14:textId="7D6DF9D3" w:rsidR="00520AFF" w:rsidRPr="00823A13" w:rsidRDefault="00520AFF" w:rsidP="00520AFF">
            <w:pPr>
              <w:ind w:left="-90"/>
              <w:rPr>
                <w:rFonts w:ascii="Calibri" w:hAnsi="Calibri" w:cs="Calibri"/>
              </w:rPr>
            </w:pPr>
            <w:r w:rsidRPr="79778830">
              <w:rPr>
                <w:rFonts w:ascii="Calibri" w:hAnsi="Calibri" w:cs="Calibri"/>
              </w:rPr>
              <w:t>12</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5D74C6F0" w14:textId="7F160491" w:rsidR="00520AFF" w:rsidRPr="00823A13" w:rsidRDefault="00520AFF" w:rsidP="00520AFF">
            <w:pPr>
              <w:ind w:left="-90"/>
              <w:rPr>
                <w:rFonts w:ascii="Calibri" w:hAnsi="Calibri" w:cs="Calibri"/>
              </w:rPr>
            </w:pPr>
            <w:r w:rsidRPr="79778830">
              <w:rPr>
                <w:rFonts w:ascii="Calibri" w:hAnsi="Calibri" w:cs="Calibri"/>
              </w:rPr>
              <w:t>17</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6400C518" w14:textId="0ABA24B1" w:rsidR="00520AFF" w:rsidRPr="00823A13" w:rsidRDefault="00520AFF" w:rsidP="00520AFF">
            <w:pPr>
              <w:ind w:left="-90"/>
              <w:rPr>
                <w:rFonts w:ascii="Calibri" w:hAnsi="Calibri" w:cs="Calibri"/>
              </w:rPr>
            </w:pPr>
            <w:r w:rsidRPr="79778830">
              <w:rPr>
                <w:rFonts w:ascii="Calibri" w:hAnsi="Calibri" w:cs="Calibri"/>
              </w:rPr>
              <w:t>12</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0C9616BE" w14:textId="221E5113" w:rsidR="00520AFF" w:rsidRPr="00823A13" w:rsidRDefault="00520AFF" w:rsidP="00520AFF">
            <w:pPr>
              <w:ind w:left="-90"/>
              <w:rPr>
                <w:rFonts w:ascii="Calibri" w:hAnsi="Calibri" w:cs="Calibri"/>
              </w:rPr>
            </w:pPr>
            <w:r w:rsidRPr="79778830">
              <w:rPr>
                <w:rFonts w:ascii="Calibri" w:hAnsi="Calibri" w:cs="Calibri"/>
              </w:rPr>
              <w:t>10</w:t>
            </w:r>
          </w:p>
        </w:tc>
        <w:tc>
          <w:tcPr>
            <w:tcW w:w="600"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74F33583" w14:textId="00191747" w:rsidR="00520AFF" w:rsidRPr="00823A13" w:rsidRDefault="00520AFF" w:rsidP="00520AFF">
            <w:pPr>
              <w:ind w:left="-90"/>
              <w:rPr>
                <w:rFonts w:ascii="Calibri" w:hAnsi="Calibri" w:cs="Calibri"/>
              </w:rPr>
            </w:pPr>
            <w:r w:rsidRPr="79778830">
              <w:rPr>
                <w:rFonts w:ascii="Calibri" w:hAnsi="Calibri" w:cs="Calibri"/>
              </w:rPr>
              <w:t>10</w:t>
            </w:r>
          </w:p>
        </w:tc>
      </w:tr>
      <w:tr w:rsidR="007B58FC" w:rsidRPr="00BF25FD" w14:paraId="3651BC99" w14:textId="77777777" w:rsidTr="3BEC22A5">
        <w:trPr>
          <w:cantSplit/>
          <w:trHeight w:val="274"/>
        </w:trPr>
        <w:tc>
          <w:tcPr>
            <w:tcW w:w="1996"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tcPr>
          <w:p w14:paraId="53A02A2A" w14:textId="3DD12631" w:rsidR="007B58FC" w:rsidRPr="00823A13" w:rsidRDefault="007B58FC" w:rsidP="007B58FC">
            <w:pPr>
              <w:ind w:left="-90"/>
              <w:rPr>
                <w:rFonts w:ascii="Calibri" w:hAnsi="Calibri" w:cs="Calibri"/>
              </w:rPr>
            </w:pPr>
            <w:r w:rsidRPr="79778830">
              <w:rPr>
                <w:rFonts w:ascii="Calibri" w:hAnsi="Calibri" w:cs="Calibri"/>
              </w:rPr>
              <w:t>Number of Students with a Disability With an IPE</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427E7E06" w14:textId="542372B5" w:rsidR="007B58FC" w:rsidRPr="00823A13" w:rsidRDefault="007B58FC" w:rsidP="007B58FC">
            <w:pPr>
              <w:ind w:left="-90"/>
              <w:rPr>
                <w:rFonts w:ascii="Calibri" w:hAnsi="Calibri" w:cs="Calibri"/>
              </w:rPr>
            </w:pPr>
            <w:r>
              <w:rPr>
                <w:rFonts w:ascii="Calibri" w:hAnsi="Calibri" w:cs="Calibri"/>
              </w:rPr>
              <w:t>TBD</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09B5942F" w14:textId="6379B232" w:rsidR="007B58FC" w:rsidRPr="00823A13" w:rsidRDefault="007B58FC" w:rsidP="007B58FC">
            <w:pPr>
              <w:ind w:left="-90"/>
              <w:rPr>
                <w:rFonts w:ascii="Calibri" w:hAnsi="Calibri" w:cs="Calibri"/>
              </w:rPr>
            </w:pPr>
            <w:r>
              <w:rPr>
                <w:rFonts w:ascii="Calibri" w:hAnsi="Calibri" w:cs="Calibri"/>
              </w:rPr>
              <w:t>TBD</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1602870C" w14:textId="3DFA1EA5" w:rsidR="007B58FC" w:rsidRPr="00823A13" w:rsidRDefault="007B58FC" w:rsidP="007B58FC">
            <w:pPr>
              <w:ind w:left="-90"/>
              <w:rPr>
                <w:rFonts w:ascii="Calibri" w:hAnsi="Calibri" w:cs="Calibri"/>
              </w:rPr>
            </w:pPr>
            <w:r>
              <w:rPr>
                <w:rFonts w:ascii="Calibri" w:hAnsi="Calibri" w:cs="Calibri"/>
              </w:rPr>
              <w:t>TBD</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7A03A522" w14:textId="554C967A" w:rsidR="007B58FC" w:rsidRPr="00823A13" w:rsidRDefault="007B58FC" w:rsidP="007B58FC">
            <w:pPr>
              <w:ind w:left="-90"/>
              <w:rPr>
                <w:rFonts w:ascii="Calibri" w:hAnsi="Calibri" w:cs="Calibri"/>
              </w:rPr>
            </w:pPr>
            <w:r>
              <w:rPr>
                <w:rFonts w:ascii="Calibri" w:hAnsi="Calibri" w:cs="Calibri"/>
              </w:rPr>
              <w:t>TBD</w:t>
            </w:r>
          </w:p>
        </w:tc>
        <w:tc>
          <w:tcPr>
            <w:tcW w:w="600"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78E2F804" w14:textId="7EE25B89" w:rsidR="007B58FC" w:rsidRPr="00823A13" w:rsidRDefault="007B58FC" w:rsidP="007B58FC">
            <w:pPr>
              <w:ind w:left="-90"/>
              <w:rPr>
                <w:rFonts w:ascii="Calibri" w:hAnsi="Calibri" w:cs="Calibri"/>
              </w:rPr>
            </w:pPr>
            <w:r>
              <w:rPr>
                <w:rFonts w:ascii="Calibri" w:hAnsi="Calibri" w:cs="Calibri"/>
              </w:rPr>
              <w:t>TBD</w:t>
            </w:r>
          </w:p>
        </w:tc>
      </w:tr>
      <w:tr w:rsidR="006E6308" w:rsidRPr="00BF25FD" w14:paraId="692FC5A0" w14:textId="77777777" w:rsidTr="3BEC22A5">
        <w:trPr>
          <w:cantSplit/>
          <w:trHeight w:val="274"/>
        </w:trPr>
        <w:tc>
          <w:tcPr>
            <w:tcW w:w="1996"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tcPr>
          <w:p w14:paraId="17E1B51F" w14:textId="19A8CF61" w:rsidR="006E6308" w:rsidRDefault="006E6308" w:rsidP="006E6308">
            <w:pPr>
              <w:ind w:left="-90"/>
              <w:rPr>
                <w:rFonts w:ascii="Calibri" w:hAnsi="Calibri" w:cs="Calibri"/>
              </w:rPr>
            </w:pPr>
            <w:r w:rsidRPr="79778830">
              <w:rPr>
                <w:rFonts w:ascii="Calibri" w:hAnsi="Calibri" w:cs="Calibri"/>
              </w:rPr>
              <w:t>Number of Youth with a Disability With an IPE</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48EE3071" w14:textId="52934320" w:rsidR="006E6308" w:rsidRPr="00823A13" w:rsidRDefault="006E6308" w:rsidP="006E6308">
            <w:pPr>
              <w:ind w:left="-90"/>
              <w:rPr>
                <w:rFonts w:ascii="Calibri" w:hAnsi="Calibri" w:cs="Calibri"/>
              </w:rPr>
            </w:pPr>
            <w:r>
              <w:rPr>
                <w:rFonts w:ascii="Calibri" w:hAnsi="Calibri" w:cs="Calibri"/>
              </w:rPr>
              <w:t>TBD</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74C53225" w14:textId="56D0776E" w:rsidR="006E6308" w:rsidRPr="00823A13" w:rsidRDefault="006E6308" w:rsidP="006E6308">
            <w:pPr>
              <w:ind w:left="-90"/>
              <w:rPr>
                <w:rFonts w:ascii="Calibri" w:hAnsi="Calibri" w:cs="Calibri"/>
              </w:rPr>
            </w:pPr>
            <w:r>
              <w:rPr>
                <w:rFonts w:ascii="Calibri" w:hAnsi="Calibri" w:cs="Calibri"/>
              </w:rPr>
              <w:t>TBD</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4C21A024" w14:textId="7218BA8A" w:rsidR="006E6308" w:rsidRPr="00823A13" w:rsidRDefault="006E6308" w:rsidP="006E6308">
            <w:pPr>
              <w:ind w:left="-90"/>
              <w:rPr>
                <w:rFonts w:ascii="Calibri" w:hAnsi="Calibri" w:cs="Calibri"/>
              </w:rPr>
            </w:pPr>
            <w:r>
              <w:rPr>
                <w:rFonts w:ascii="Calibri" w:hAnsi="Calibri" w:cs="Calibri"/>
              </w:rPr>
              <w:t>TBD</w:t>
            </w:r>
          </w:p>
        </w:tc>
        <w:tc>
          <w:tcPr>
            <w:tcW w:w="601"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410951BB" w14:textId="104FBAAF" w:rsidR="006E6308" w:rsidRPr="00823A13" w:rsidRDefault="006E6308" w:rsidP="006E6308">
            <w:pPr>
              <w:ind w:left="-90"/>
              <w:rPr>
                <w:rFonts w:ascii="Calibri" w:hAnsi="Calibri" w:cs="Calibri"/>
              </w:rPr>
            </w:pPr>
            <w:r>
              <w:rPr>
                <w:rFonts w:ascii="Calibri" w:hAnsi="Calibri" w:cs="Calibri"/>
              </w:rPr>
              <w:t>TBD</w:t>
            </w:r>
          </w:p>
        </w:tc>
        <w:tc>
          <w:tcPr>
            <w:tcW w:w="600" w:type="pct"/>
            <w:tcBorders>
              <w:top w:val="nil"/>
              <w:left w:val="nil"/>
              <w:bottom w:val="single" w:sz="8" w:space="0" w:color="BFBFBF" w:themeColor="background1" w:themeShade="BF"/>
              <w:right w:val="single" w:sz="8" w:space="0" w:color="BFBFBF" w:themeColor="background1" w:themeShade="BF"/>
            </w:tcBorders>
            <w:shd w:val="clear" w:color="auto" w:fill="F2F2F2" w:themeFill="background1" w:themeFillShade="F2"/>
            <w:tcMar>
              <w:top w:w="0" w:type="dxa"/>
              <w:left w:w="108" w:type="dxa"/>
              <w:bottom w:w="0" w:type="dxa"/>
              <w:right w:w="108" w:type="dxa"/>
            </w:tcMar>
            <w:vAlign w:val="center"/>
          </w:tcPr>
          <w:p w14:paraId="1D9145CF" w14:textId="1D02E132" w:rsidR="006E6308" w:rsidRPr="00823A13" w:rsidRDefault="006E6308" w:rsidP="006E6308">
            <w:pPr>
              <w:ind w:left="-90"/>
              <w:rPr>
                <w:rFonts w:ascii="Calibri" w:hAnsi="Calibri" w:cs="Calibri"/>
              </w:rPr>
            </w:pPr>
            <w:r>
              <w:rPr>
                <w:rFonts w:ascii="Calibri" w:hAnsi="Calibri" w:cs="Calibri"/>
              </w:rPr>
              <w:t>TBD</w:t>
            </w:r>
          </w:p>
        </w:tc>
      </w:tr>
    </w:tbl>
    <w:p w14:paraId="1D546959" w14:textId="77777777" w:rsidR="009231AD" w:rsidRPr="00C75D3C" w:rsidRDefault="009231AD" w:rsidP="009231AD">
      <w:pPr>
        <w:spacing w:after="160"/>
        <w:rPr>
          <w:rFonts w:ascii="Cambria" w:eastAsia="Cambria" w:hAnsi="Cambria" w:cs="Cambria"/>
        </w:rPr>
      </w:pPr>
      <w:r>
        <w:rPr>
          <w:rFonts w:ascii="Calibri" w:eastAsia="Cambria" w:hAnsi="Calibri" w:cs="Calibri"/>
          <w:sz w:val="18"/>
          <w:szCs w:val="18"/>
        </w:rPr>
        <w:t xml:space="preserve">**Pre-ETS Potentially Eligible per year total includes any individual who was in the Pre-ETS referral status at any point during the year. </w:t>
      </w:r>
    </w:p>
    <w:p w14:paraId="4A5A3AB9" w14:textId="77777777" w:rsidR="009231AD" w:rsidRPr="00823A13" w:rsidRDefault="009231AD" w:rsidP="009231AD">
      <w:pPr>
        <w:ind w:left="-90"/>
        <w:rPr>
          <w:rFonts w:ascii="Calibri" w:hAnsi="Calibri" w:cs="Calibri"/>
        </w:rPr>
      </w:pPr>
    </w:p>
    <w:p w14:paraId="540FB39F" w14:textId="28B33660" w:rsidR="00C420DD" w:rsidRPr="00262DD6" w:rsidRDefault="00262DD6" w:rsidP="79778830">
      <w:pPr>
        <w:ind w:left="-86"/>
        <w:rPr>
          <w:rFonts w:ascii="Calibri" w:hAnsi="Calibri" w:cs="Calibri"/>
          <w:i/>
          <w:iCs/>
        </w:rPr>
      </w:pPr>
      <w:r w:rsidRPr="79778830">
        <w:rPr>
          <w:rFonts w:ascii="Calibri" w:hAnsi="Calibri" w:cs="Calibri"/>
          <w:i/>
          <w:iCs/>
        </w:rPr>
        <w:t>Table 2</w:t>
      </w:r>
    </w:p>
    <w:p w14:paraId="028B9850" w14:textId="1FC49833" w:rsidR="009231AD" w:rsidRPr="00BB48EE" w:rsidRDefault="009231AD" w:rsidP="009231AD">
      <w:pPr>
        <w:ind w:left="-86"/>
        <w:rPr>
          <w:rFonts w:ascii="Calibri" w:eastAsia="Cambria" w:hAnsi="Calibri" w:cs="Calibri"/>
        </w:rPr>
      </w:pPr>
      <w:r w:rsidRPr="00BB48EE">
        <w:rPr>
          <w:rFonts w:ascii="Calibri" w:hAnsi="Calibri" w:cs="Calibri"/>
        </w:rPr>
        <w:t xml:space="preserve">The data in Table 2 provides the percentage of customers who were served in each Pre-ETS Category by Potentially Eligible and Participants (Pre-ETS only) in FFY23. </w:t>
      </w:r>
    </w:p>
    <w:p w14:paraId="405EE504" w14:textId="77777777" w:rsidR="009231AD" w:rsidRPr="00BB48EE" w:rsidRDefault="009231AD" w:rsidP="009231AD">
      <w:pPr>
        <w:rPr>
          <w:rFonts w:ascii="Calibri" w:eastAsia="Cambria" w:hAnsi="Calibri" w:cs="Calibri"/>
        </w:rPr>
      </w:pP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Caption w:val="Table 1"/>
        <w:tblDescription w:val="Table with percentage of SSB Pre-ETS customers who were served in each of the 5 Pre-ETS Categories by Potentially Eligible, Participants (Pre-ETS Only), and Totals for FFY23.  "/>
      </w:tblPr>
      <w:tblGrid>
        <w:gridCol w:w="2283"/>
        <w:gridCol w:w="2171"/>
        <w:gridCol w:w="2273"/>
        <w:gridCol w:w="2273"/>
      </w:tblGrid>
      <w:tr w:rsidR="009231AD" w:rsidRPr="00BB48EE" w14:paraId="553D539E" w14:textId="77777777" w:rsidTr="00D8379E">
        <w:trPr>
          <w:tblHeader/>
        </w:trPr>
        <w:tc>
          <w:tcPr>
            <w:tcW w:w="2283" w:type="dxa"/>
            <w:vAlign w:val="center"/>
          </w:tcPr>
          <w:p w14:paraId="1384ADE3" w14:textId="77777777" w:rsidR="009231AD" w:rsidRPr="00BB48EE" w:rsidRDefault="009231AD" w:rsidP="00D8379E">
            <w:pPr>
              <w:ind w:left="43"/>
              <w:rPr>
                <w:rFonts w:ascii="Calibri" w:eastAsia="Cambria" w:hAnsi="Calibri" w:cs="Calibri"/>
              </w:rPr>
            </w:pPr>
            <w:r w:rsidRPr="00BB48EE">
              <w:rPr>
                <w:rFonts w:ascii="Calibri" w:eastAsia="Cambria" w:hAnsi="Calibri" w:cs="Calibri"/>
              </w:rPr>
              <w:t xml:space="preserve">Pre-ETS Service Category </w:t>
            </w:r>
          </w:p>
        </w:tc>
        <w:tc>
          <w:tcPr>
            <w:tcW w:w="2171" w:type="dxa"/>
            <w:vAlign w:val="center"/>
          </w:tcPr>
          <w:p w14:paraId="640FA95E" w14:textId="77777777" w:rsidR="009231AD" w:rsidRPr="00BB48EE" w:rsidRDefault="009231AD" w:rsidP="00D8379E">
            <w:pPr>
              <w:jc w:val="center"/>
              <w:rPr>
                <w:rFonts w:ascii="Calibri" w:eastAsia="Cambria" w:hAnsi="Calibri" w:cs="Calibri"/>
              </w:rPr>
            </w:pPr>
            <w:r w:rsidRPr="00BB48EE">
              <w:rPr>
                <w:rFonts w:ascii="Calibri" w:eastAsia="Cambria" w:hAnsi="Calibri" w:cs="Calibri"/>
              </w:rPr>
              <w:t>Potentially Eligible</w:t>
            </w:r>
          </w:p>
        </w:tc>
        <w:tc>
          <w:tcPr>
            <w:tcW w:w="2273" w:type="dxa"/>
            <w:vAlign w:val="center"/>
          </w:tcPr>
          <w:p w14:paraId="47E15510" w14:textId="77777777" w:rsidR="009231AD" w:rsidRPr="00BB48EE" w:rsidRDefault="009231AD" w:rsidP="00D8379E">
            <w:pPr>
              <w:jc w:val="center"/>
              <w:rPr>
                <w:rFonts w:ascii="Calibri" w:eastAsia="Cambria" w:hAnsi="Calibri" w:cs="Calibri"/>
              </w:rPr>
            </w:pPr>
            <w:r w:rsidRPr="00BB48EE">
              <w:rPr>
                <w:rFonts w:ascii="Calibri" w:eastAsia="Cambria" w:hAnsi="Calibri" w:cs="Calibri"/>
              </w:rPr>
              <w:t xml:space="preserve">Participants </w:t>
            </w:r>
          </w:p>
          <w:p w14:paraId="2A891F74" w14:textId="77777777" w:rsidR="009231AD" w:rsidRPr="00BB48EE" w:rsidRDefault="009231AD" w:rsidP="00D8379E">
            <w:pPr>
              <w:jc w:val="center"/>
              <w:rPr>
                <w:rFonts w:ascii="Calibri" w:eastAsia="Cambria" w:hAnsi="Calibri" w:cs="Calibri"/>
              </w:rPr>
            </w:pPr>
            <w:r w:rsidRPr="00BB48EE">
              <w:rPr>
                <w:rFonts w:ascii="Calibri" w:eastAsia="Cambria" w:hAnsi="Calibri" w:cs="Calibri"/>
              </w:rPr>
              <w:t>(Pre-ETS only)</w:t>
            </w:r>
          </w:p>
        </w:tc>
        <w:tc>
          <w:tcPr>
            <w:tcW w:w="2273" w:type="dxa"/>
            <w:vAlign w:val="center"/>
          </w:tcPr>
          <w:p w14:paraId="69887A68" w14:textId="77777777" w:rsidR="009231AD" w:rsidRPr="00BB48EE" w:rsidRDefault="009231AD" w:rsidP="00D8379E">
            <w:pPr>
              <w:jc w:val="center"/>
              <w:rPr>
                <w:rFonts w:ascii="Calibri" w:eastAsia="Cambria" w:hAnsi="Calibri" w:cs="Calibri"/>
              </w:rPr>
            </w:pPr>
            <w:r w:rsidRPr="00BB48EE">
              <w:rPr>
                <w:rFonts w:ascii="Calibri" w:eastAsia="Cambria" w:hAnsi="Calibri" w:cs="Calibri"/>
              </w:rPr>
              <w:t xml:space="preserve">Participants </w:t>
            </w:r>
          </w:p>
          <w:p w14:paraId="33CCDCBF" w14:textId="77777777" w:rsidR="009231AD" w:rsidRPr="00BB48EE" w:rsidRDefault="009231AD" w:rsidP="00D8379E">
            <w:pPr>
              <w:jc w:val="center"/>
              <w:rPr>
                <w:rFonts w:ascii="Calibri" w:eastAsia="Cambria" w:hAnsi="Calibri" w:cs="Calibri"/>
              </w:rPr>
            </w:pPr>
            <w:r w:rsidRPr="00BB48EE">
              <w:rPr>
                <w:rFonts w:ascii="Calibri" w:eastAsia="Cambria" w:hAnsi="Calibri" w:cs="Calibri"/>
              </w:rPr>
              <w:t>(Pre-ETS + Potentially Eligible)</w:t>
            </w:r>
          </w:p>
        </w:tc>
      </w:tr>
      <w:tr w:rsidR="009231AD" w:rsidRPr="00BB48EE" w14:paraId="6F15D8AF" w14:textId="77777777" w:rsidTr="00D8379E">
        <w:tc>
          <w:tcPr>
            <w:tcW w:w="2283" w:type="dxa"/>
            <w:vAlign w:val="center"/>
          </w:tcPr>
          <w:p w14:paraId="2CBDB223" w14:textId="77777777" w:rsidR="009231AD" w:rsidRPr="00BB48EE" w:rsidRDefault="009231AD" w:rsidP="00D8379E">
            <w:pPr>
              <w:spacing w:after="160" w:line="259" w:lineRule="auto"/>
              <w:ind w:left="43"/>
              <w:rPr>
                <w:rFonts w:ascii="Calibri" w:eastAsia="Cambria" w:hAnsi="Calibri" w:cs="Calibri"/>
              </w:rPr>
            </w:pPr>
            <w:r w:rsidRPr="00BB48EE">
              <w:rPr>
                <w:rFonts w:ascii="Calibri" w:eastAsia="Cambria" w:hAnsi="Calibri" w:cs="Calibri"/>
              </w:rPr>
              <w:t xml:space="preserve">Instruction in Self-Advocacy </w:t>
            </w:r>
          </w:p>
        </w:tc>
        <w:tc>
          <w:tcPr>
            <w:tcW w:w="2171" w:type="dxa"/>
            <w:vAlign w:val="center"/>
          </w:tcPr>
          <w:p w14:paraId="0467A51C"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25%</w:t>
            </w:r>
          </w:p>
        </w:tc>
        <w:tc>
          <w:tcPr>
            <w:tcW w:w="2273" w:type="dxa"/>
            <w:vAlign w:val="center"/>
          </w:tcPr>
          <w:p w14:paraId="1735E616"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44%</w:t>
            </w:r>
          </w:p>
        </w:tc>
        <w:tc>
          <w:tcPr>
            <w:tcW w:w="2273" w:type="dxa"/>
            <w:vAlign w:val="center"/>
          </w:tcPr>
          <w:p w14:paraId="09C89557"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43%</w:t>
            </w:r>
          </w:p>
        </w:tc>
      </w:tr>
      <w:tr w:rsidR="009231AD" w:rsidRPr="00BB48EE" w14:paraId="34CDC997" w14:textId="77777777" w:rsidTr="00D8379E">
        <w:tc>
          <w:tcPr>
            <w:tcW w:w="2283" w:type="dxa"/>
            <w:vAlign w:val="center"/>
          </w:tcPr>
          <w:p w14:paraId="3426A69D" w14:textId="77777777" w:rsidR="009231AD" w:rsidRPr="00BB48EE" w:rsidRDefault="009231AD" w:rsidP="00D8379E">
            <w:pPr>
              <w:spacing w:after="160" w:line="259" w:lineRule="auto"/>
              <w:ind w:left="43"/>
              <w:rPr>
                <w:rFonts w:ascii="Calibri" w:eastAsia="Cambria" w:hAnsi="Calibri" w:cs="Calibri"/>
              </w:rPr>
            </w:pPr>
            <w:r w:rsidRPr="00BB48EE">
              <w:rPr>
                <w:rFonts w:ascii="Calibri" w:eastAsia="Cambria" w:hAnsi="Calibri" w:cs="Calibri"/>
              </w:rPr>
              <w:t xml:space="preserve">Job Exploration Counseling </w:t>
            </w:r>
          </w:p>
        </w:tc>
        <w:tc>
          <w:tcPr>
            <w:tcW w:w="2171" w:type="dxa"/>
            <w:vAlign w:val="center"/>
          </w:tcPr>
          <w:p w14:paraId="49D2A462"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50%</w:t>
            </w:r>
          </w:p>
        </w:tc>
        <w:tc>
          <w:tcPr>
            <w:tcW w:w="2273" w:type="dxa"/>
            <w:vAlign w:val="center"/>
          </w:tcPr>
          <w:p w14:paraId="30F92B27"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42%</w:t>
            </w:r>
          </w:p>
        </w:tc>
        <w:tc>
          <w:tcPr>
            <w:tcW w:w="2273" w:type="dxa"/>
            <w:vAlign w:val="center"/>
          </w:tcPr>
          <w:p w14:paraId="61F9520E"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41%</w:t>
            </w:r>
          </w:p>
        </w:tc>
      </w:tr>
      <w:tr w:rsidR="009231AD" w:rsidRPr="00BB48EE" w14:paraId="382A139B" w14:textId="77777777" w:rsidTr="00D8379E">
        <w:tc>
          <w:tcPr>
            <w:tcW w:w="2283" w:type="dxa"/>
            <w:vAlign w:val="center"/>
          </w:tcPr>
          <w:p w14:paraId="55BB6BEA" w14:textId="77777777" w:rsidR="009231AD" w:rsidRPr="00BB48EE" w:rsidRDefault="009231AD" w:rsidP="00D8379E">
            <w:pPr>
              <w:spacing w:after="160" w:line="259" w:lineRule="auto"/>
              <w:ind w:left="43"/>
              <w:rPr>
                <w:rFonts w:ascii="Calibri" w:eastAsia="Cambria" w:hAnsi="Calibri" w:cs="Calibri"/>
              </w:rPr>
            </w:pPr>
            <w:r w:rsidRPr="00BB48EE">
              <w:rPr>
                <w:rFonts w:ascii="Calibri" w:eastAsia="Cambria" w:hAnsi="Calibri" w:cs="Calibri"/>
              </w:rPr>
              <w:t xml:space="preserve">Post Secondary Counseling </w:t>
            </w:r>
          </w:p>
        </w:tc>
        <w:tc>
          <w:tcPr>
            <w:tcW w:w="2171" w:type="dxa"/>
            <w:vAlign w:val="center"/>
          </w:tcPr>
          <w:p w14:paraId="1227C37B"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50%</w:t>
            </w:r>
          </w:p>
        </w:tc>
        <w:tc>
          <w:tcPr>
            <w:tcW w:w="2273" w:type="dxa"/>
            <w:vAlign w:val="center"/>
          </w:tcPr>
          <w:p w14:paraId="1A830680"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42%</w:t>
            </w:r>
          </w:p>
        </w:tc>
        <w:tc>
          <w:tcPr>
            <w:tcW w:w="2273" w:type="dxa"/>
            <w:vAlign w:val="center"/>
          </w:tcPr>
          <w:p w14:paraId="2F9D148C"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41%</w:t>
            </w:r>
          </w:p>
        </w:tc>
      </w:tr>
      <w:tr w:rsidR="009231AD" w:rsidRPr="00BB48EE" w14:paraId="47F88115" w14:textId="77777777" w:rsidTr="00D8379E">
        <w:tc>
          <w:tcPr>
            <w:tcW w:w="2283" w:type="dxa"/>
            <w:vAlign w:val="center"/>
          </w:tcPr>
          <w:p w14:paraId="413EE57E" w14:textId="77777777" w:rsidR="009231AD" w:rsidRPr="00BB48EE" w:rsidRDefault="009231AD" w:rsidP="00D8379E">
            <w:pPr>
              <w:spacing w:after="160" w:line="259" w:lineRule="auto"/>
              <w:ind w:left="43"/>
              <w:rPr>
                <w:rFonts w:ascii="Calibri" w:eastAsia="Cambria" w:hAnsi="Calibri" w:cs="Calibri"/>
              </w:rPr>
            </w:pPr>
            <w:r w:rsidRPr="00BB48EE">
              <w:rPr>
                <w:rFonts w:ascii="Calibri" w:eastAsia="Cambria" w:hAnsi="Calibri" w:cs="Calibri"/>
              </w:rPr>
              <w:t xml:space="preserve">Work-Based Learning </w:t>
            </w:r>
          </w:p>
        </w:tc>
        <w:tc>
          <w:tcPr>
            <w:tcW w:w="2171" w:type="dxa"/>
            <w:vAlign w:val="center"/>
          </w:tcPr>
          <w:p w14:paraId="24F6F7DB"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13%</w:t>
            </w:r>
          </w:p>
        </w:tc>
        <w:tc>
          <w:tcPr>
            <w:tcW w:w="2273" w:type="dxa"/>
            <w:vAlign w:val="center"/>
          </w:tcPr>
          <w:p w14:paraId="318F414F"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38%</w:t>
            </w:r>
          </w:p>
        </w:tc>
        <w:tc>
          <w:tcPr>
            <w:tcW w:w="2273" w:type="dxa"/>
            <w:vAlign w:val="center"/>
          </w:tcPr>
          <w:p w14:paraId="5FC948BE"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37%</w:t>
            </w:r>
          </w:p>
        </w:tc>
      </w:tr>
      <w:tr w:rsidR="009231AD" w:rsidRPr="00BB48EE" w14:paraId="10FDB0D7" w14:textId="77777777" w:rsidTr="00D8379E">
        <w:tc>
          <w:tcPr>
            <w:tcW w:w="2283" w:type="dxa"/>
            <w:vAlign w:val="center"/>
          </w:tcPr>
          <w:p w14:paraId="237CD73A" w14:textId="77777777" w:rsidR="009231AD" w:rsidRPr="00BB48EE" w:rsidRDefault="009231AD" w:rsidP="00D8379E">
            <w:pPr>
              <w:spacing w:after="160" w:line="259" w:lineRule="auto"/>
              <w:ind w:left="43"/>
              <w:rPr>
                <w:rFonts w:ascii="Calibri" w:eastAsia="Cambria" w:hAnsi="Calibri" w:cs="Calibri"/>
              </w:rPr>
            </w:pPr>
            <w:r w:rsidRPr="00BB48EE">
              <w:rPr>
                <w:rFonts w:ascii="Calibri" w:eastAsia="Cambria" w:hAnsi="Calibri" w:cs="Calibri"/>
              </w:rPr>
              <w:t xml:space="preserve">Workplace Readiness Training </w:t>
            </w:r>
          </w:p>
        </w:tc>
        <w:tc>
          <w:tcPr>
            <w:tcW w:w="2171" w:type="dxa"/>
            <w:vAlign w:val="center"/>
          </w:tcPr>
          <w:p w14:paraId="07598252"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38%</w:t>
            </w:r>
          </w:p>
        </w:tc>
        <w:tc>
          <w:tcPr>
            <w:tcW w:w="2273" w:type="dxa"/>
            <w:vAlign w:val="center"/>
          </w:tcPr>
          <w:p w14:paraId="0FE94AC0"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49%</w:t>
            </w:r>
          </w:p>
        </w:tc>
        <w:tc>
          <w:tcPr>
            <w:tcW w:w="2273" w:type="dxa"/>
            <w:vAlign w:val="center"/>
          </w:tcPr>
          <w:p w14:paraId="03E55BC1" w14:textId="77777777" w:rsidR="009231AD" w:rsidRPr="00BB48EE" w:rsidRDefault="009231AD" w:rsidP="00D8379E">
            <w:pPr>
              <w:spacing w:after="160" w:line="259" w:lineRule="auto"/>
              <w:jc w:val="center"/>
              <w:rPr>
                <w:rFonts w:ascii="Calibri" w:eastAsia="Cambria" w:hAnsi="Calibri" w:cs="Calibri"/>
              </w:rPr>
            </w:pPr>
            <w:r w:rsidRPr="00BB48EE">
              <w:rPr>
                <w:rFonts w:ascii="Calibri" w:eastAsia="Cambria" w:hAnsi="Calibri" w:cs="Calibri"/>
              </w:rPr>
              <w:t>48%</w:t>
            </w:r>
          </w:p>
        </w:tc>
      </w:tr>
      <w:tr w:rsidR="009231AD" w:rsidRPr="00BB48EE" w14:paraId="5051BBE1" w14:textId="77777777" w:rsidTr="00D8379E">
        <w:tc>
          <w:tcPr>
            <w:tcW w:w="2283" w:type="dxa"/>
            <w:vAlign w:val="center"/>
          </w:tcPr>
          <w:p w14:paraId="6F75E4A5" w14:textId="77777777" w:rsidR="009231AD" w:rsidRPr="00094B9B" w:rsidRDefault="009231AD" w:rsidP="00D8379E">
            <w:pPr>
              <w:spacing w:after="160" w:line="259" w:lineRule="auto"/>
              <w:ind w:left="43"/>
              <w:rPr>
                <w:rFonts w:ascii="Calibri" w:eastAsia="Cambria" w:hAnsi="Calibri" w:cs="Calibri"/>
                <w:b/>
              </w:rPr>
            </w:pPr>
            <w:r w:rsidRPr="00094B9B">
              <w:rPr>
                <w:rFonts w:ascii="Calibri" w:eastAsia="Cambria" w:hAnsi="Calibri" w:cs="Calibri"/>
                <w:b/>
              </w:rPr>
              <w:t xml:space="preserve">Total All Students </w:t>
            </w:r>
          </w:p>
        </w:tc>
        <w:tc>
          <w:tcPr>
            <w:tcW w:w="2171" w:type="dxa"/>
            <w:vAlign w:val="center"/>
          </w:tcPr>
          <w:p w14:paraId="18D18528" w14:textId="77777777" w:rsidR="009231AD" w:rsidRPr="00094B9B" w:rsidRDefault="009231AD" w:rsidP="00D8379E">
            <w:pPr>
              <w:spacing w:after="160" w:line="259" w:lineRule="auto"/>
              <w:jc w:val="center"/>
              <w:rPr>
                <w:rFonts w:ascii="Calibri" w:eastAsia="Cambria" w:hAnsi="Calibri" w:cs="Calibri"/>
                <w:b/>
              </w:rPr>
            </w:pPr>
            <w:r w:rsidRPr="00094B9B">
              <w:rPr>
                <w:rFonts w:ascii="Calibri" w:eastAsia="Cambria" w:hAnsi="Calibri" w:cs="Calibri"/>
                <w:b/>
              </w:rPr>
              <w:t>63%</w:t>
            </w:r>
          </w:p>
        </w:tc>
        <w:tc>
          <w:tcPr>
            <w:tcW w:w="2273" w:type="dxa"/>
            <w:vAlign w:val="center"/>
          </w:tcPr>
          <w:p w14:paraId="38EE02B5" w14:textId="77777777" w:rsidR="009231AD" w:rsidRPr="00094B9B" w:rsidRDefault="009231AD" w:rsidP="00D8379E">
            <w:pPr>
              <w:spacing w:after="160" w:line="259" w:lineRule="auto"/>
              <w:jc w:val="center"/>
              <w:rPr>
                <w:rFonts w:ascii="Calibri" w:eastAsia="Cambria" w:hAnsi="Calibri" w:cs="Calibri"/>
                <w:b/>
              </w:rPr>
            </w:pPr>
            <w:r w:rsidRPr="00094B9B">
              <w:rPr>
                <w:rFonts w:ascii="Calibri" w:eastAsia="Cambria" w:hAnsi="Calibri" w:cs="Calibri"/>
                <w:b/>
              </w:rPr>
              <w:t>79%</w:t>
            </w:r>
          </w:p>
        </w:tc>
        <w:tc>
          <w:tcPr>
            <w:tcW w:w="2273" w:type="dxa"/>
            <w:vAlign w:val="center"/>
          </w:tcPr>
          <w:p w14:paraId="1DEAB5EB" w14:textId="77777777" w:rsidR="009231AD" w:rsidRPr="00094B9B" w:rsidRDefault="009231AD" w:rsidP="00D8379E">
            <w:pPr>
              <w:spacing w:after="160" w:line="259" w:lineRule="auto"/>
              <w:jc w:val="center"/>
              <w:rPr>
                <w:rFonts w:ascii="Calibri" w:eastAsia="Cambria" w:hAnsi="Calibri" w:cs="Calibri"/>
                <w:b/>
              </w:rPr>
            </w:pPr>
            <w:r w:rsidRPr="00094B9B">
              <w:rPr>
                <w:rFonts w:ascii="Calibri" w:eastAsia="Cambria" w:hAnsi="Calibri" w:cs="Calibri"/>
                <w:b/>
              </w:rPr>
              <w:t>78%</w:t>
            </w:r>
          </w:p>
        </w:tc>
      </w:tr>
    </w:tbl>
    <w:p w14:paraId="1631DE4A" w14:textId="45CE9D27" w:rsidR="00262DD6" w:rsidRPr="00094B9B" w:rsidRDefault="00262DD6" w:rsidP="002D3396">
      <w:pPr>
        <w:spacing w:before="360"/>
        <w:ind w:left="-86"/>
        <w:rPr>
          <w:rFonts w:ascii="Calibri" w:hAnsi="Calibri" w:cs="Calibri"/>
          <w:i/>
          <w:iCs/>
        </w:rPr>
      </w:pPr>
      <w:r>
        <w:rPr>
          <w:rFonts w:ascii="Calibri" w:hAnsi="Calibri" w:cs="Calibri"/>
          <w:i/>
          <w:iCs/>
        </w:rPr>
        <w:t>Table 3</w:t>
      </w:r>
    </w:p>
    <w:p w14:paraId="549733DB" w14:textId="4B13062A" w:rsidR="009231AD" w:rsidRPr="00BB48EE" w:rsidRDefault="009231AD" w:rsidP="009231AD">
      <w:pPr>
        <w:ind w:left="-90"/>
        <w:rPr>
          <w:rFonts w:ascii="Calibri" w:hAnsi="Calibri" w:cs="Calibri"/>
        </w:rPr>
      </w:pPr>
      <w:r w:rsidRPr="00BB48EE">
        <w:rPr>
          <w:rFonts w:ascii="Calibri" w:hAnsi="Calibri" w:cs="Calibri"/>
        </w:rPr>
        <w:t xml:space="preserve">From the data in Table 3, of the dollars spent in </w:t>
      </w:r>
      <w:r w:rsidRPr="333B87A2">
        <w:rPr>
          <w:rFonts w:ascii="Calibri" w:hAnsi="Calibri" w:cs="Calibri"/>
        </w:rPr>
        <w:t>F</w:t>
      </w:r>
      <w:r w:rsidR="03C8BFC7" w:rsidRPr="333B87A2">
        <w:rPr>
          <w:rFonts w:ascii="Calibri" w:hAnsi="Calibri" w:cs="Calibri"/>
        </w:rPr>
        <w:t>F</w:t>
      </w:r>
      <w:r w:rsidRPr="333B87A2">
        <w:rPr>
          <w:rFonts w:ascii="Calibri" w:hAnsi="Calibri" w:cs="Calibri"/>
        </w:rPr>
        <w:t>Y2023</w:t>
      </w:r>
      <w:r w:rsidRPr="00BB48EE">
        <w:rPr>
          <w:rFonts w:ascii="Calibri" w:hAnsi="Calibri" w:cs="Calibri"/>
        </w:rPr>
        <w:t xml:space="preserve"> in each </w:t>
      </w:r>
      <w:bookmarkStart w:id="2" w:name="_Hlk153198495"/>
      <w:r w:rsidRPr="00BB48EE">
        <w:rPr>
          <w:rFonts w:ascii="Calibri" w:hAnsi="Calibri" w:cs="Calibri"/>
        </w:rPr>
        <w:t xml:space="preserve">Pre-ETS </w:t>
      </w:r>
      <w:bookmarkEnd w:id="2"/>
      <w:r w:rsidRPr="00BB48EE">
        <w:rPr>
          <w:rFonts w:ascii="Calibri" w:hAnsi="Calibri" w:cs="Calibri"/>
        </w:rPr>
        <w:t xml:space="preserve">category by potentially eligible and participants, </w:t>
      </w:r>
      <w:r w:rsidR="00262DD6">
        <w:rPr>
          <w:rFonts w:ascii="Calibri" w:hAnsi="Calibri" w:cs="Calibri"/>
        </w:rPr>
        <w:t>p</w:t>
      </w:r>
      <w:r w:rsidRPr="00BB48EE">
        <w:rPr>
          <w:rFonts w:ascii="Calibri" w:hAnsi="Calibri" w:cs="Calibri"/>
        </w:rPr>
        <w:t xml:space="preserve">articipant expenditures for Work-Based Learning, and Workplace Readiness Training activities constitute the majority of our spending. </w:t>
      </w:r>
    </w:p>
    <w:p w14:paraId="47AD2A3B" w14:textId="77777777" w:rsidR="009231AD" w:rsidRPr="00BB48EE" w:rsidRDefault="009231AD" w:rsidP="009231AD">
      <w:pPr>
        <w:rPr>
          <w:rFonts w:ascii="Calibri" w:hAnsi="Calibri" w:cs="Calibri"/>
          <w:b/>
          <w:bCs/>
        </w:rPr>
      </w:pPr>
    </w:p>
    <w:tbl>
      <w:tblPr>
        <w:tblStyle w:val="TableGrid"/>
        <w:tblW w:w="0" w:type="auto"/>
        <w:tblLook w:val="04A0" w:firstRow="1" w:lastRow="0" w:firstColumn="1" w:lastColumn="0" w:noHBand="0" w:noVBand="1"/>
        <w:tblCaption w:val="Table 2"/>
        <w:tblDescription w:val="Table with the dollars expended in each of the 5 Pre-ETS categories by Potentially Eligible, Participants, and the Total Pre-ETS customers served by SSB in FFY23. "/>
      </w:tblPr>
      <w:tblGrid>
        <w:gridCol w:w="2337"/>
        <w:gridCol w:w="2337"/>
        <w:gridCol w:w="2338"/>
        <w:gridCol w:w="2338"/>
      </w:tblGrid>
      <w:tr w:rsidR="009231AD" w:rsidRPr="00BB48EE" w14:paraId="3D8008C8" w14:textId="77777777" w:rsidTr="00D8379E">
        <w:trPr>
          <w:tblHeader/>
        </w:trPr>
        <w:tc>
          <w:tcPr>
            <w:tcW w:w="2337" w:type="dxa"/>
            <w:vAlign w:val="center"/>
          </w:tcPr>
          <w:p w14:paraId="5939F2D2" w14:textId="77777777" w:rsidR="009231AD" w:rsidRPr="00BB48EE" w:rsidRDefault="009231AD" w:rsidP="00D8379E">
            <w:pPr>
              <w:ind w:left="-90"/>
              <w:rPr>
                <w:rFonts w:ascii="Calibri" w:hAnsi="Calibri" w:cs="Calibri"/>
              </w:rPr>
            </w:pPr>
            <w:r w:rsidRPr="00BB48EE">
              <w:rPr>
                <w:rFonts w:ascii="Calibri" w:hAnsi="Calibri" w:cs="Calibri"/>
              </w:rPr>
              <w:t>Pre-ETS Service Category</w:t>
            </w:r>
          </w:p>
        </w:tc>
        <w:tc>
          <w:tcPr>
            <w:tcW w:w="2337" w:type="dxa"/>
            <w:vAlign w:val="center"/>
          </w:tcPr>
          <w:p w14:paraId="1F2556E1" w14:textId="77777777" w:rsidR="009231AD" w:rsidRPr="00BB48EE" w:rsidRDefault="009231AD" w:rsidP="00D8379E">
            <w:pPr>
              <w:ind w:left="-90"/>
              <w:jc w:val="center"/>
              <w:rPr>
                <w:rFonts w:ascii="Calibri" w:hAnsi="Calibri" w:cs="Calibri"/>
              </w:rPr>
            </w:pPr>
            <w:r w:rsidRPr="00BB48EE">
              <w:rPr>
                <w:rFonts w:ascii="Calibri" w:hAnsi="Calibri" w:cs="Calibri"/>
              </w:rPr>
              <w:t>Potentially Eligible</w:t>
            </w:r>
          </w:p>
        </w:tc>
        <w:tc>
          <w:tcPr>
            <w:tcW w:w="2338" w:type="dxa"/>
            <w:vAlign w:val="center"/>
          </w:tcPr>
          <w:p w14:paraId="7682C17D" w14:textId="77777777" w:rsidR="009231AD" w:rsidRPr="00BB48EE" w:rsidRDefault="009231AD" w:rsidP="00D8379E">
            <w:pPr>
              <w:ind w:left="-90"/>
              <w:jc w:val="center"/>
              <w:rPr>
                <w:rFonts w:ascii="Calibri" w:hAnsi="Calibri" w:cs="Calibri"/>
              </w:rPr>
            </w:pPr>
            <w:r w:rsidRPr="00BB48EE">
              <w:rPr>
                <w:rFonts w:ascii="Calibri" w:hAnsi="Calibri" w:cs="Calibri"/>
              </w:rPr>
              <w:t>Participants</w:t>
            </w:r>
          </w:p>
        </w:tc>
        <w:tc>
          <w:tcPr>
            <w:tcW w:w="2338" w:type="dxa"/>
            <w:vAlign w:val="center"/>
          </w:tcPr>
          <w:p w14:paraId="1145CAC1" w14:textId="77777777" w:rsidR="009231AD" w:rsidRPr="00BB48EE" w:rsidRDefault="009231AD" w:rsidP="00D8379E">
            <w:pPr>
              <w:ind w:left="-90"/>
              <w:jc w:val="center"/>
              <w:rPr>
                <w:rFonts w:ascii="Calibri" w:hAnsi="Calibri" w:cs="Calibri"/>
              </w:rPr>
            </w:pPr>
            <w:r w:rsidRPr="00BB48EE">
              <w:rPr>
                <w:rFonts w:ascii="Calibri" w:hAnsi="Calibri" w:cs="Calibri"/>
              </w:rPr>
              <w:t>Totals</w:t>
            </w:r>
          </w:p>
        </w:tc>
      </w:tr>
      <w:tr w:rsidR="009231AD" w:rsidRPr="00BB48EE" w14:paraId="4E49D2B5" w14:textId="77777777" w:rsidTr="00D8379E">
        <w:tc>
          <w:tcPr>
            <w:tcW w:w="2337" w:type="dxa"/>
            <w:vAlign w:val="center"/>
          </w:tcPr>
          <w:p w14:paraId="73DDC31C" w14:textId="77777777" w:rsidR="009231AD" w:rsidRPr="00BB48EE" w:rsidRDefault="009231AD" w:rsidP="00D8379E">
            <w:pPr>
              <w:ind w:left="-90"/>
              <w:rPr>
                <w:rFonts w:ascii="Calibri" w:hAnsi="Calibri" w:cs="Calibri"/>
              </w:rPr>
            </w:pPr>
            <w:r w:rsidRPr="00BB48EE">
              <w:rPr>
                <w:rFonts w:ascii="Calibri" w:hAnsi="Calibri" w:cs="Calibri"/>
              </w:rPr>
              <w:t>Instruction in Self-Advocacy</w:t>
            </w:r>
          </w:p>
        </w:tc>
        <w:tc>
          <w:tcPr>
            <w:tcW w:w="2337" w:type="dxa"/>
            <w:vAlign w:val="center"/>
          </w:tcPr>
          <w:p w14:paraId="1D92FCF0" w14:textId="77777777" w:rsidR="009231AD" w:rsidRPr="00BB48EE" w:rsidRDefault="009231AD" w:rsidP="00D8379E">
            <w:pPr>
              <w:ind w:left="-90"/>
              <w:jc w:val="center"/>
              <w:rPr>
                <w:rFonts w:ascii="Calibri" w:hAnsi="Calibri" w:cs="Calibri"/>
              </w:rPr>
            </w:pPr>
            <w:r w:rsidRPr="00BB48EE">
              <w:rPr>
                <w:rFonts w:ascii="Calibri" w:hAnsi="Calibri" w:cs="Calibri"/>
              </w:rPr>
              <w:t>$0</w:t>
            </w:r>
          </w:p>
        </w:tc>
        <w:tc>
          <w:tcPr>
            <w:tcW w:w="2338" w:type="dxa"/>
            <w:vAlign w:val="center"/>
          </w:tcPr>
          <w:p w14:paraId="2AFE4F17" w14:textId="77777777" w:rsidR="009231AD" w:rsidRPr="00BB48EE" w:rsidRDefault="009231AD" w:rsidP="00D8379E">
            <w:pPr>
              <w:ind w:left="-90"/>
              <w:jc w:val="center"/>
              <w:rPr>
                <w:rFonts w:ascii="Calibri" w:hAnsi="Calibri" w:cs="Calibri"/>
              </w:rPr>
            </w:pPr>
            <w:r w:rsidRPr="00BB48EE">
              <w:rPr>
                <w:rFonts w:ascii="Calibri" w:hAnsi="Calibri" w:cs="Calibri"/>
              </w:rPr>
              <w:t>$4,599.8</w:t>
            </w:r>
          </w:p>
        </w:tc>
        <w:tc>
          <w:tcPr>
            <w:tcW w:w="2338" w:type="dxa"/>
            <w:vAlign w:val="center"/>
          </w:tcPr>
          <w:p w14:paraId="792CFF44" w14:textId="77777777" w:rsidR="009231AD" w:rsidRPr="00BB48EE" w:rsidRDefault="009231AD" w:rsidP="00D8379E">
            <w:pPr>
              <w:ind w:left="-90"/>
              <w:jc w:val="center"/>
              <w:rPr>
                <w:rFonts w:ascii="Calibri" w:hAnsi="Calibri" w:cs="Calibri"/>
              </w:rPr>
            </w:pPr>
            <w:r w:rsidRPr="00BB48EE">
              <w:rPr>
                <w:rFonts w:ascii="Calibri" w:hAnsi="Calibri" w:cs="Calibri"/>
              </w:rPr>
              <w:t>$4,599.8</w:t>
            </w:r>
          </w:p>
        </w:tc>
      </w:tr>
      <w:tr w:rsidR="009231AD" w:rsidRPr="00BB48EE" w14:paraId="00F967C4" w14:textId="77777777" w:rsidTr="00D8379E">
        <w:tc>
          <w:tcPr>
            <w:tcW w:w="2337" w:type="dxa"/>
            <w:vAlign w:val="center"/>
          </w:tcPr>
          <w:p w14:paraId="01253F1A" w14:textId="77777777" w:rsidR="009231AD" w:rsidRPr="00BB48EE" w:rsidRDefault="009231AD" w:rsidP="00D8379E">
            <w:pPr>
              <w:ind w:left="-90"/>
              <w:rPr>
                <w:rFonts w:ascii="Calibri" w:hAnsi="Calibri" w:cs="Calibri"/>
              </w:rPr>
            </w:pPr>
            <w:r w:rsidRPr="00BB48EE">
              <w:rPr>
                <w:rFonts w:ascii="Calibri" w:hAnsi="Calibri" w:cs="Calibri"/>
              </w:rPr>
              <w:t>Job Exploration Counseling</w:t>
            </w:r>
          </w:p>
        </w:tc>
        <w:tc>
          <w:tcPr>
            <w:tcW w:w="2337" w:type="dxa"/>
            <w:vAlign w:val="center"/>
          </w:tcPr>
          <w:p w14:paraId="0CF277A7" w14:textId="77777777" w:rsidR="009231AD" w:rsidRPr="00BB48EE" w:rsidRDefault="009231AD" w:rsidP="00D8379E">
            <w:pPr>
              <w:ind w:left="-90"/>
              <w:jc w:val="center"/>
              <w:rPr>
                <w:rFonts w:ascii="Calibri" w:hAnsi="Calibri" w:cs="Calibri"/>
              </w:rPr>
            </w:pPr>
            <w:r w:rsidRPr="00BB48EE">
              <w:rPr>
                <w:rFonts w:ascii="Calibri" w:hAnsi="Calibri" w:cs="Calibri"/>
              </w:rPr>
              <w:t>$0</w:t>
            </w:r>
          </w:p>
        </w:tc>
        <w:tc>
          <w:tcPr>
            <w:tcW w:w="2338" w:type="dxa"/>
            <w:vAlign w:val="center"/>
          </w:tcPr>
          <w:p w14:paraId="4CE505C7" w14:textId="77777777" w:rsidR="009231AD" w:rsidRPr="00BB48EE" w:rsidRDefault="009231AD" w:rsidP="00D8379E">
            <w:pPr>
              <w:ind w:left="-90"/>
              <w:jc w:val="center"/>
              <w:rPr>
                <w:rFonts w:ascii="Calibri" w:hAnsi="Calibri" w:cs="Calibri"/>
              </w:rPr>
            </w:pPr>
            <w:r w:rsidRPr="00BB48EE">
              <w:rPr>
                <w:rFonts w:ascii="Calibri" w:hAnsi="Calibri" w:cs="Calibri"/>
              </w:rPr>
              <w:t>$7,276.52</w:t>
            </w:r>
          </w:p>
        </w:tc>
        <w:tc>
          <w:tcPr>
            <w:tcW w:w="2338" w:type="dxa"/>
            <w:vAlign w:val="center"/>
          </w:tcPr>
          <w:p w14:paraId="091B8CE8" w14:textId="77777777" w:rsidR="009231AD" w:rsidRPr="00BB48EE" w:rsidRDefault="009231AD" w:rsidP="00D8379E">
            <w:pPr>
              <w:ind w:left="-90"/>
              <w:jc w:val="center"/>
              <w:rPr>
                <w:rFonts w:ascii="Calibri" w:hAnsi="Calibri" w:cs="Calibri"/>
              </w:rPr>
            </w:pPr>
            <w:r w:rsidRPr="00BB48EE">
              <w:rPr>
                <w:rFonts w:ascii="Calibri" w:hAnsi="Calibri" w:cs="Calibri"/>
              </w:rPr>
              <w:t>$7,276.52</w:t>
            </w:r>
          </w:p>
        </w:tc>
      </w:tr>
      <w:tr w:rsidR="009231AD" w:rsidRPr="00BB48EE" w14:paraId="669352A8" w14:textId="77777777" w:rsidTr="00D8379E">
        <w:tc>
          <w:tcPr>
            <w:tcW w:w="2337" w:type="dxa"/>
            <w:vAlign w:val="center"/>
          </w:tcPr>
          <w:p w14:paraId="7B0E889D" w14:textId="77777777" w:rsidR="009231AD" w:rsidRPr="00BB48EE" w:rsidRDefault="009231AD" w:rsidP="00D8379E">
            <w:pPr>
              <w:ind w:left="-90"/>
              <w:rPr>
                <w:rFonts w:ascii="Calibri" w:hAnsi="Calibri" w:cs="Calibri"/>
              </w:rPr>
            </w:pPr>
            <w:r w:rsidRPr="00BB48EE">
              <w:rPr>
                <w:rFonts w:ascii="Calibri" w:hAnsi="Calibri" w:cs="Calibri"/>
              </w:rPr>
              <w:t>Post Secondary Counseling</w:t>
            </w:r>
          </w:p>
        </w:tc>
        <w:tc>
          <w:tcPr>
            <w:tcW w:w="2337" w:type="dxa"/>
            <w:vAlign w:val="center"/>
          </w:tcPr>
          <w:p w14:paraId="779BFB00" w14:textId="77777777" w:rsidR="009231AD" w:rsidRPr="00BB48EE" w:rsidRDefault="009231AD" w:rsidP="00D8379E">
            <w:pPr>
              <w:ind w:left="-90"/>
              <w:jc w:val="center"/>
              <w:rPr>
                <w:rFonts w:ascii="Calibri" w:hAnsi="Calibri" w:cs="Calibri"/>
              </w:rPr>
            </w:pPr>
            <w:r w:rsidRPr="00BB48EE">
              <w:rPr>
                <w:rFonts w:ascii="Calibri" w:hAnsi="Calibri" w:cs="Calibri"/>
              </w:rPr>
              <w:t>$0</w:t>
            </w:r>
          </w:p>
        </w:tc>
        <w:tc>
          <w:tcPr>
            <w:tcW w:w="2338" w:type="dxa"/>
            <w:vAlign w:val="center"/>
          </w:tcPr>
          <w:p w14:paraId="35F92011" w14:textId="77777777" w:rsidR="009231AD" w:rsidRPr="00BB48EE" w:rsidRDefault="009231AD" w:rsidP="00D8379E">
            <w:pPr>
              <w:ind w:left="-90"/>
              <w:jc w:val="center"/>
              <w:rPr>
                <w:rFonts w:ascii="Calibri" w:hAnsi="Calibri" w:cs="Calibri"/>
              </w:rPr>
            </w:pPr>
            <w:r w:rsidRPr="00BB48EE">
              <w:rPr>
                <w:rFonts w:ascii="Calibri" w:hAnsi="Calibri" w:cs="Calibri"/>
              </w:rPr>
              <w:t>$516.83</w:t>
            </w:r>
          </w:p>
        </w:tc>
        <w:tc>
          <w:tcPr>
            <w:tcW w:w="2338" w:type="dxa"/>
            <w:vAlign w:val="center"/>
          </w:tcPr>
          <w:p w14:paraId="315009C3" w14:textId="77777777" w:rsidR="009231AD" w:rsidRPr="00BB48EE" w:rsidRDefault="009231AD" w:rsidP="00D8379E">
            <w:pPr>
              <w:ind w:left="-90"/>
              <w:jc w:val="center"/>
              <w:rPr>
                <w:rFonts w:ascii="Calibri" w:hAnsi="Calibri" w:cs="Calibri"/>
              </w:rPr>
            </w:pPr>
            <w:r w:rsidRPr="00BB48EE">
              <w:rPr>
                <w:rFonts w:ascii="Calibri" w:hAnsi="Calibri" w:cs="Calibri"/>
              </w:rPr>
              <w:t>$516.83</w:t>
            </w:r>
          </w:p>
        </w:tc>
      </w:tr>
      <w:tr w:rsidR="009231AD" w:rsidRPr="00BB48EE" w14:paraId="5BA8665C" w14:textId="77777777" w:rsidTr="00D8379E">
        <w:tc>
          <w:tcPr>
            <w:tcW w:w="2337" w:type="dxa"/>
            <w:vAlign w:val="center"/>
          </w:tcPr>
          <w:p w14:paraId="3CD6E88C" w14:textId="77777777" w:rsidR="009231AD" w:rsidRPr="00BB48EE" w:rsidRDefault="009231AD" w:rsidP="00D8379E">
            <w:pPr>
              <w:ind w:left="-90"/>
              <w:rPr>
                <w:rFonts w:ascii="Calibri" w:hAnsi="Calibri" w:cs="Calibri"/>
              </w:rPr>
            </w:pPr>
            <w:r w:rsidRPr="00BB48EE">
              <w:rPr>
                <w:rFonts w:ascii="Calibri" w:hAnsi="Calibri" w:cs="Calibri"/>
              </w:rPr>
              <w:t xml:space="preserve"> Work-Based Learning </w:t>
            </w:r>
          </w:p>
        </w:tc>
        <w:tc>
          <w:tcPr>
            <w:tcW w:w="2337" w:type="dxa"/>
            <w:vAlign w:val="center"/>
          </w:tcPr>
          <w:p w14:paraId="1BA423D2" w14:textId="77777777" w:rsidR="009231AD" w:rsidRPr="00BB48EE" w:rsidRDefault="009231AD" w:rsidP="00D8379E">
            <w:pPr>
              <w:ind w:left="-90"/>
              <w:jc w:val="center"/>
              <w:rPr>
                <w:rFonts w:ascii="Calibri" w:hAnsi="Calibri" w:cs="Calibri"/>
              </w:rPr>
            </w:pPr>
            <w:r w:rsidRPr="00BB48EE">
              <w:rPr>
                <w:rFonts w:ascii="Calibri" w:hAnsi="Calibri" w:cs="Calibri"/>
              </w:rPr>
              <w:t>$0</w:t>
            </w:r>
          </w:p>
        </w:tc>
        <w:tc>
          <w:tcPr>
            <w:tcW w:w="2338" w:type="dxa"/>
            <w:vAlign w:val="center"/>
          </w:tcPr>
          <w:p w14:paraId="02FEE46B" w14:textId="77777777" w:rsidR="009231AD" w:rsidRPr="00BB48EE" w:rsidRDefault="009231AD" w:rsidP="00D8379E">
            <w:pPr>
              <w:ind w:left="-90"/>
              <w:jc w:val="center"/>
              <w:rPr>
                <w:rFonts w:ascii="Calibri" w:hAnsi="Calibri" w:cs="Calibri"/>
              </w:rPr>
            </w:pPr>
            <w:r w:rsidRPr="00BB48EE">
              <w:rPr>
                <w:rFonts w:ascii="Calibri" w:hAnsi="Calibri" w:cs="Calibri"/>
              </w:rPr>
              <w:t>$59,546.54</w:t>
            </w:r>
          </w:p>
        </w:tc>
        <w:tc>
          <w:tcPr>
            <w:tcW w:w="2338" w:type="dxa"/>
            <w:vAlign w:val="center"/>
          </w:tcPr>
          <w:p w14:paraId="078D8809" w14:textId="77777777" w:rsidR="009231AD" w:rsidRPr="00BB48EE" w:rsidRDefault="009231AD" w:rsidP="00D8379E">
            <w:pPr>
              <w:ind w:left="-90"/>
              <w:jc w:val="center"/>
              <w:rPr>
                <w:rFonts w:ascii="Calibri" w:hAnsi="Calibri" w:cs="Calibri"/>
              </w:rPr>
            </w:pPr>
            <w:r w:rsidRPr="00BB48EE">
              <w:rPr>
                <w:rFonts w:ascii="Calibri" w:hAnsi="Calibri" w:cs="Calibri"/>
              </w:rPr>
              <w:t>$59,546.54</w:t>
            </w:r>
          </w:p>
        </w:tc>
      </w:tr>
      <w:tr w:rsidR="009231AD" w:rsidRPr="00BB48EE" w14:paraId="1AFDAD14" w14:textId="77777777" w:rsidTr="00D8379E">
        <w:tc>
          <w:tcPr>
            <w:tcW w:w="2337" w:type="dxa"/>
            <w:vAlign w:val="center"/>
          </w:tcPr>
          <w:p w14:paraId="666BC4E1" w14:textId="77777777" w:rsidR="009231AD" w:rsidRPr="00BB48EE" w:rsidRDefault="009231AD" w:rsidP="00D8379E">
            <w:pPr>
              <w:ind w:left="-90"/>
              <w:rPr>
                <w:rFonts w:ascii="Calibri" w:hAnsi="Calibri" w:cs="Calibri"/>
              </w:rPr>
            </w:pPr>
            <w:r w:rsidRPr="00BB48EE">
              <w:rPr>
                <w:rFonts w:ascii="Calibri" w:hAnsi="Calibri" w:cs="Calibri"/>
              </w:rPr>
              <w:t xml:space="preserve"> Workplace Readiness Training </w:t>
            </w:r>
          </w:p>
        </w:tc>
        <w:tc>
          <w:tcPr>
            <w:tcW w:w="2337" w:type="dxa"/>
            <w:vAlign w:val="center"/>
          </w:tcPr>
          <w:p w14:paraId="4F6CEB1E" w14:textId="77777777" w:rsidR="009231AD" w:rsidRPr="00BB48EE" w:rsidRDefault="009231AD" w:rsidP="00D8379E">
            <w:pPr>
              <w:ind w:left="-90"/>
              <w:jc w:val="center"/>
              <w:rPr>
                <w:rFonts w:ascii="Calibri" w:hAnsi="Calibri" w:cs="Calibri"/>
              </w:rPr>
            </w:pPr>
            <w:r w:rsidRPr="00BB48EE">
              <w:rPr>
                <w:rFonts w:ascii="Calibri" w:hAnsi="Calibri" w:cs="Calibri"/>
              </w:rPr>
              <w:t>$1,632.58</w:t>
            </w:r>
          </w:p>
        </w:tc>
        <w:tc>
          <w:tcPr>
            <w:tcW w:w="2338" w:type="dxa"/>
            <w:vAlign w:val="center"/>
          </w:tcPr>
          <w:p w14:paraId="2084AFA6" w14:textId="77777777" w:rsidR="009231AD" w:rsidRPr="00BB48EE" w:rsidRDefault="009231AD" w:rsidP="00D8379E">
            <w:pPr>
              <w:ind w:left="-90"/>
              <w:jc w:val="center"/>
              <w:rPr>
                <w:rFonts w:ascii="Calibri" w:hAnsi="Calibri" w:cs="Calibri"/>
              </w:rPr>
            </w:pPr>
            <w:r w:rsidRPr="00BB48EE">
              <w:rPr>
                <w:rFonts w:ascii="Calibri" w:hAnsi="Calibri" w:cs="Calibri"/>
              </w:rPr>
              <w:t>$219,321.86</w:t>
            </w:r>
          </w:p>
        </w:tc>
        <w:tc>
          <w:tcPr>
            <w:tcW w:w="2338" w:type="dxa"/>
            <w:vAlign w:val="center"/>
          </w:tcPr>
          <w:p w14:paraId="1D532D4D" w14:textId="77777777" w:rsidR="009231AD" w:rsidRPr="00BB48EE" w:rsidRDefault="009231AD" w:rsidP="00D8379E">
            <w:pPr>
              <w:ind w:left="-90"/>
              <w:jc w:val="center"/>
              <w:rPr>
                <w:rFonts w:ascii="Calibri" w:hAnsi="Calibri" w:cs="Calibri"/>
              </w:rPr>
            </w:pPr>
            <w:r w:rsidRPr="00BB48EE">
              <w:rPr>
                <w:rFonts w:ascii="Calibri" w:hAnsi="Calibri" w:cs="Calibri"/>
              </w:rPr>
              <w:t>$220,954.44</w:t>
            </w:r>
          </w:p>
        </w:tc>
      </w:tr>
      <w:tr w:rsidR="009231AD" w:rsidRPr="00BB48EE" w14:paraId="72699F36" w14:textId="77777777" w:rsidTr="00D8379E">
        <w:tc>
          <w:tcPr>
            <w:tcW w:w="2337" w:type="dxa"/>
            <w:vAlign w:val="center"/>
          </w:tcPr>
          <w:p w14:paraId="10E5A465" w14:textId="77777777" w:rsidR="009231AD" w:rsidRPr="00B656E1" w:rsidRDefault="009231AD" w:rsidP="00D8379E">
            <w:pPr>
              <w:ind w:left="-90"/>
              <w:rPr>
                <w:rFonts w:ascii="Calibri" w:hAnsi="Calibri" w:cs="Calibri"/>
                <w:b/>
              </w:rPr>
            </w:pPr>
            <w:r w:rsidRPr="00B656E1">
              <w:rPr>
                <w:rFonts w:ascii="Calibri" w:hAnsi="Calibri" w:cs="Calibri"/>
                <w:b/>
              </w:rPr>
              <w:t xml:space="preserve"> Total All Students </w:t>
            </w:r>
          </w:p>
        </w:tc>
        <w:tc>
          <w:tcPr>
            <w:tcW w:w="2337" w:type="dxa"/>
            <w:vAlign w:val="center"/>
          </w:tcPr>
          <w:p w14:paraId="54E07F25" w14:textId="77777777" w:rsidR="009231AD" w:rsidRPr="00B656E1" w:rsidRDefault="009231AD" w:rsidP="00D8379E">
            <w:pPr>
              <w:ind w:left="-90"/>
              <w:jc w:val="center"/>
              <w:rPr>
                <w:rFonts w:ascii="Calibri" w:hAnsi="Calibri" w:cs="Calibri"/>
                <w:b/>
              </w:rPr>
            </w:pPr>
            <w:r w:rsidRPr="00B656E1">
              <w:rPr>
                <w:rFonts w:ascii="Calibri" w:hAnsi="Calibri" w:cs="Calibri"/>
                <w:b/>
              </w:rPr>
              <w:t>$1,632.58</w:t>
            </w:r>
          </w:p>
        </w:tc>
        <w:tc>
          <w:tcPr>
            <w:tcW w:w="2338" w:type="dxa"/>
            <w:vAlign w:val="center"/>
          </w:tcPr>
          <w:p w14:paraId="437AA115" w14:textId="77777777" w:rsidR="009231AD" w:rsidRPr="00B656E1" w:rsidRDefault="009231AD" w:rsidP="00D8379E">
            <w:pPr>
              <w:ind w:left="-90"/>
              <w:jc w:val="center"/>
              <w:rPr>
                <w:rFonts w:ascii="Calibri" w:hAnsi="Calibri" w:cs="Calibri"/>
                <w:b/>
              </w:rPr>
            </w:pPr>
            <w:r w:rsidRPr="00B656E1">
              <w:rPr>
                <w:rFonts w:ascii="Calibri" w:hAnsi="Calibri" w:cs="Calibri"/>
                <w:b/>
              </w:rPr>
              <w:t>$286,661.75</w:t>
            </w:r>
          </w:p>
        </w:tc>
        <w:tc>
          <w:tcPr>
            <w:tcW w:w="2338" w:type="dxa"/>
            <w:vAlign w:val="center"/>
          </w:tcPr>
          <w:p w14:paraId="52827905" w14:textId="77777777" w:rsidR="009231AD" w:rsidRPr="00B656E1" w:rsidRDefault="009231AD" w:rsidP="00D8379E">
            <w:pPr>
              <w:ind w:left="-90"/>
              <w:jc w:val="center"/>
              <w:rPr>
                <w:rFonts w:ascii="Calibri" w:hAnsi="Calibri" w:cs="Calibri"/>
                <w:b/>
              </w:rPr>
            </w:pPr>
            <w:r w:rsidRPr="00B656E1">
              <w:rPr>
                <w:rFonts w:ascii="Calibri" w:hAnsi="Calibri" w:cs="Calibri"/>
                <w:b/>
              </w:rPr>
              <w:t>$288,294.33</w:t>
            </w:r>
          </w:p>
        </w:tc>
      </w:tr>
    </w:tbl>
    <w:p w14:paraId="590DD81F" w14:textId="77777777" w:rsidR="009231AD" w:rsidRPr="00BB48EE" w:rsidRDefault="009231AD" w:rsidP="009231AD">
      <w:pPr>
        <w:spacing w:after="160" w:line="259" w:lineRule="auto"/>
        <w:rPr>
          <w:rFonts w:ascii="Calibri" w:eastAsia="Cambria" w:hAnsi="Calibri" w:cs="Calibri"/>
        </w:rPr>
      </w:pPr>
      <w:r w:rsidRPr="00BB48EE">
        <w:rPr>
          <w:rFonts w:ascii="Calibri" w:eastAsia="Cambria" w:hAnsi="Calibri" w:cs="Calibri"/>
        </w:rPr>
        <w:t>****Table 3</w:t>
      </w:r>
    </w:p>
    <w:p w14:paraId="032900B2" w14:textId="77777777" w:rsidR="009231AD" w:rsidRPr="00BB48EE" w:rsidRDefault="009231AD" w:rsidP="009231AD">
      <w:pPr>
        <w:rPr>
          <w:rFonts w:ascii="Calibri" w:hAnsi="Calibri" w:cs="Calibri"/>
        </w:rPr>
      </w:pPr>
    </w:p>
    <w:p w14:paraId="1107B44C" w14:textId="71F8ED6C" w:rsidR="009231AD" w:rsidRPr="00BB48EE" w:rsidRDefault="009231AD" w:rsidP="009231AD">
      <w:pPr>
        <w:rPr>
          <w:rFonts w:ascii="Calibri" w:hAnsi="Calibri" w:cs="Calibri"/>
        </w:rPr>
      </w:pPr>
      <w:r w:rsidRPr="000563DD">
        <w:rPr>
          <w:rFonts w:ascii="Calibri" w:hAnsi="Calibri" w:cs="Calibri"/>
          <w:i/>
        </w:rPr>
        <w:t>Assessments</w:t>
      </w:r>
    </w:p>
    <w:p w14:paraId="6F9C9010" w14:textId="5A1F0724" w:rsidR="009231AD" w:rsidRPr="00BB48EE" w:rsidRDefault="009231AD" w:rsidP="009231AD">
      <w:pPr>
        <w:rPr>
          <w:rFonts w:ascii="Calibri" w:hAnsi="Calibri" w:cs="Calibri"/>
        </w:rPr>
      </w:pPr>
      <w:r w:rsidRPr="00BB48EE">
        <w:rPr>
          <w:rFonts w:ascii="Calibri" w:hAnsi="Calibri" w:cs="Calibri"/>
        </w:rPr>
        <w:t>SSB developed a Pre-ETS student self-assessment which gives an opportunity for students to share their understanding of their preparedness for college, careers, and work in relation to the Pre-ETS categories.  With this student self-assessment, the results provide two key pieces of information:  </w:t>
      </w:r>
    </w:p>
    <w:p w14:paraId="644FA873" w14:textId="77777777" w:rsidR="009231AD" w:rsidRPr="00BB48EE" w:rsidRDefault="009231AD" w:rsidP="009231AD">
      <w:pPr>
        <w:rPr>
          <w:rFonts w:ascii="Calibri" w:hAnsi="Calibri" w:cs="Calibri"/>
        </w:rPr>
      </w:pPr>
      <w:r w:rsidRPr="00BB48EE">
        <w:rPr>
          <w:rFonts w:ascii="Calibri" w:hAnsi="Calibri" w:cs="Calibri"/>
        </w:rPr>
        <w:t>  </w:t>
      </w:r>
    </w:p>
    <w:p w14:paraId="5EFE40AE" w14:textId="77777777" w:rsidR="009231AD" w:rsidRPr="00BB48EE" w:rsidRDefault="009231AD" w:rsidP="00095024">
      <w:pPr>
        <w:spacing w:after="60"/>
        <w:ind w:left="274" w:hanging="274"/>
        <w:rPr>
          <w:rFonts w:ascii="Calibri" w:hAnsi="Calibri" w:cs="Calibri"/>
        </w:rPr>
      </w:pPr>
      <w:r w:rsidRPr="00BB48EE">
        <w:rPr>
          <w:rFonts w:ascii="Calibri" w:hAnsi="Calibri" w:cs="Calibri"/>
        </w:rPr>
        <w:t xml:space="preserve">1. The results indicate where the student believes their strengths and weaknesses are, and thus provide a sense of direction for staff to validate the student's strengths and work towards improving the weak areas. </w:t>
      </w:r>
    </w:p>
    <w:p w14:paraId="5B044B8B" w14:textId="77777777" w:rsidR="009231AD" w:rsidRPr="004C65F3" w:rsidRDefault="009231AD" w:rsidP="009231AD">
      <w:pPr>
        <w:tabs>
          <w:tab w:val="left" w:pos="0"/>
          <w:tab w:val="left" w:pos="180"/>
          <w:tab w:val="left" w:pos="270"/>
          <w:tab w:val="left" w:pos="360"/>
        </w:tabs>
        <w:ind w:left="270" w:hanging="270"/>
      </w:pPr>
      <w:r w:rsidRPr="00BB48EE">
        <w:rPr>
          <w:rFonts w:ascii="Calibri" w:hAnsi="Calibri" w:cs="Calibri"/>
        </w:rPr>
        <w:t xml:space="preserve">2. The self-assessment can be used as a post-assessment when administered a second time. This allows </w:t>
      </w:r>
      <w:r w:rsidRPr="004C65F3">
        <w:t>students and team members to see the student’s growth as a result of having received Pre-ETS. The results will demonstrate if the if the methodologies were effective or if service delivery has room for improvement. </w:t>
      </w:r>
    </w:p>
    <w:p w14:paraId="4ED308C2" w14:textId="77777777" w:rsidR="009231AD" w:rsidRPr="00DE5587" w:rsidRDefault="009231AD" w:rsidP="009231AD">
      <w:r w:rsidRPr="00DE5587">
        <w:t>  </w:t>
      </w:r>
    </w:p>
    <w:p w14:paraId="1103DE95" w14:textId="5726347B" w:rsidR="009231AD" w:rsidRPr="00822BF6" w:rsidRDefault="009231AD" w:rsidP="009231AD">
      <w:r w:rsidRPr="00822BF6">
        <w:t>The self-assessment may be facilitated by SSB staff, teachers, providers, or completed independently by students with the results compiled by SSB. </w:t>
      </w:r>
      <w:r w:rsidR="00B00DCF">
        <w:t xml:space="preserve">It can be provided to both potentially eligible and eligible students. </w:t>
      </w:r>
    </w:p>
    <w:p w14:paraId="5C7EC761" w14:textId="77777777" w:rsidR="009231AD" w:rsidRPr="00822BF6" w:rsidRDefault="009231AD" w:rsidP="009231AD"/>
    <w:p w14:paraId="06B3B87F" w14:textId="77777777" w:rsidR="009231AD" w:rsidRPr="00822BF6" w:rsidRDefault="009231AD" w:rsidP="009231AD">
      <w:r w:rsidRPr="00822BF6">
        <w:t xml:space="preserve">The self-assessment serves as a powerful tool to help guide both students and team members in which area or service to focus on, as well as track learning progress. This assessment is delivered on a case-by-case basis and used as appropriate. IEP team members, parents, and other supports can assist with the process when </w:t>
      </w:r>
      <w:r>
        <w:t xml:space="preserve">deemed </w:t>
      </w:r>
      <w:r w:rsidRPr="00822BF6">
        <w:t>appropriate</w:t>
      </w:r>
      <w:r>
        <w:t xml:space="preserve"> by the team</w:t>
      </w:r>
      <w:r w:rsidRPr="00822BF6">
        <w:t>.  </w:t>
      </w:r>
    </w:p>
    <w:p w14:paraId="37B994F6" w14:textId="77777777" w:rsidR="009231AD" w:rsidRPr="00822BF6" w:rsidRDefault="009231AD" w:rsidP="009231AD"/>
    <w:p w14:paraId="65947D61" w14:textId="25CC9C1A" w:rsidR="009231AD" w:rsidRPr="00822BF6" w:rsidRDefault="009231AD" w:rsidP="009231AD">
      <w:r w:rsidRPr="00822BF6">
        <w:t>SSB staff are required to complete a comprehensive assessment before IPE development</w:t>
      </w:r>
      <w:r w:rsidR="00961194">
        <w:t>.</w:t>
      </w:r>
      <w:r w:rsidRPr="00822BF6">
        <w:t xml:space="preserve"> </w:t>
      </w:r>
      <w:r w:rsidR="00961194">
        <w:t>This</w:t>
      </w:r>
      <w:r w:rsidRPr="00822BF6">
        <w:t xml:space="preserve"> assessment reinforces</w:t>
      </w:r>
      <w:r w:rsidR="00961194">
        <w:t xml:space="preserve"> the necessity for</w:t>
      </w:r>
      <w:r w:rsidRPr="00822BF6">
        <w:t xml:space="preserve"> counselors to consider IEP goals within this assessment and </w:t>
      </w:r>
      <w:r>
        <w:t>address</w:t>
      </w:r>
      <w:r w:rsidRPr="00822BF6">
        <w:t xml:space="preserve"> areas of need as best fit. Counselors are required to address all five core Pre-ETS areas within this assessment and note all of the services an eligible student requires to make progress toward an employment goal or projected goal.</w:t>
      </w:r>
      <w:r w:rsidRPr="00822BF6">
        <w:rPr>
          <w:b/>
          <w:bCs/>
        </w:rPr>
        <w:t> </w:t>
      </w:r>
      <w:r w:rsidRPr="00822BF6">
        <w:t> </w:t>
      </w:r>
    </w:p>
    <w:p w14:paraId="7CA48837" w14:textId="77777777" w:rsidR="00FA5EF1" w:rsidRDefault="00FA5EF1" w:rsidP="009231AD"/>
    <w:p w14:paraId="68A9CFB5" w14:textId="73844936" w:rsidR="00FA5EF1" w:rsidRPr="00822BF6" w:rsidRDefault="00FA5EF1" w:rsidP="009231AD">
      <w:r>
        <w:t xml:space="preserve">For potentially eligible students, a similar assessment is completed to determine which </w:t>
      </w:r>
      <w:r w:rsidR="00BD089E">
        <w:t xml:space="preserve">of the five </w:t>
      </w:r>
      <w:r w:rsidR="00724D72">
        <w:t>core</w:t>
      </w:r>
      <w:r w:rsidR="00BD089E">
        <w:t xml:space="preserve"> </w:t>
      </w:r>
      <w:r>
        <w:t xml:space="preserve">Pre-ETS the student </w:t>
      </w:r>
      <w:r w:rsidR="00BD089E">
        <w:t>would require. Ongoing assessment</w:t>
      </w:r>
      <w:r w:rsidR="00724D72">
        <w:t xml:space="preserve"> and review</w:t>
      </w:r>
      <w:r w:rsidR="00BD089E">
        <w:t xml:space="preserve"> is conducted to determine any additional Pre-ETS</w:t>
      </w:r>
      <w:r w:rsidR="00724D72">
        <w:t xml:space="preserve"> the student would need or which Pre-ETS have concluded. </w:t>
      </w:r>
    </w:p>
    <w:p w14:paraId="0C9ACE2E" w14:textId="77777777" w:rsidR="009231AD" w:rsidRPr="00822BF6" w:rsidRDefault="009231AD" w:rsidP="009231AD"/>
    <w:p w14:paraId="29E46951" w14:textId="77777777" w:rsidR="009231AD" w:rsidRPr="00822BF6" w:rsidRDefault="009231AD" w:rsidP="009231AD">
      <w:r w:rsidRPr="00822BF6">
        <w:t>Every high school student is eligible to engage in SSB’s in-house assessments for assistive technology, orientation and mobility, and independent living needs that are critical for success. These assessments are required for seniors in high school as they plan to transition into activities beyond secondary education. Training is then coordinated in relation to the needs displayed in the assessment with education officials and other team members as appropriate.  </w:t>
      </w:r>
    </w:p>
    <w:p w14:paraId="3AA92184" w14:textId="77777777" w:rsidR="009231AD" w:rsidRPr="00DE5587" w:rsidRDefault="009231AD" w:rsidP="009231AD">
      <w:r>
        <w:t>  </w:t>
      </w:r>
    </w:p>
    <w:p w14:paraId="05779DAC" w14:textId="34B72FC0" w:rsidR="009231AD" w:rsidRDefault="009231AD" w:rsidP="009231AD">
      <w:r w:rsidRPr="004C27CA">
        <w:rPr>
          <w:i/>
        </w:rPr>
        <w:t>Coordinating to determine needs</w:t>
      </w:r>
    </w:p>
    <w:p w14:paraId="58E8855B" w14:textId="2EE103E5" w:rsidR="009231AD" w:rsidRPr="00DE5587" w:rsidRDefault="00D472AD" w:rsidP="009231AD">
      <w:r>
        <w:t xml:space="preserve">When invited, </w:t>
      </w:r>
      <w:r w:rsidR="009231AD" w:rsidRPr="00DE5587">
        <w:t xml:space="preserve">SSB staff attend IEP and IEP 3-year evaluation meetings and collect these documents for review to coordinate with team members and provide services in collaboration with IDEA. SSB staff work with students and their families, IEP case managers, teachers of the blind and visually impaired, orientation and mobility specialists, and other IEP team members to supplement services provided by IDEA in order to assist with goal acquisition. SSB is able to provide additional activities outside of the classroom and school day through in-house service provision and community partners to strengthen and reinforce IEP goals needed for high school success and preparedness for the workplace. SSB staff consult with IEP members when providing additional activities that supplement IEP activities </w:t>
      </w:r>
      <w:r>
        <w:t>and</w:t>
      </w:r>
      <w:r w:rsidRPr="00DE5587">
        <w:t xml:space="preserve"> </w:t>
      </w:r>
      <w:r w:rsidR="009231AD" w:rsidRPr="00DE5587">
        <w:t>align with IPE goals to ensure understanding of instruction from both agencies.  </w:t>
      </w:r>
    </w:p>
    <w:p w14:paraId="6B50E4E6" w14:textId="77777777" w:rsidR="009231AD" w:rsidRPr="00DE5587" w:rsidRDefault="009231AD" w:rsidP="009231AD">
      <w:r w:rsidRPr="00DE5587">
        <w:t> </w:t>
      </w:r>
    </w:p>
    <w:p w14:paraId="196A3A87" w14:textId="5317FC5D" w:rsidR="009231AD" w:rsidRPr="00DE5587" w:rsidRDefault="009231AD" w:rsidP="009231AD">
      <w:r w:rsidRPr="00DE5587">
        <w:t xml:space="preserve">SSB’s </w:t>
      </w:r>
      <w:r w:rsidR="0024742D">
        <w:t xml:space="preserve">Pre-ETS </w:t>
      </w:r>
      <w:r w:rsidR="00835200">
        <w:t>and</w:t>
      </w:r>
      <w:r w:rsidRPr="00DE5587">
        <w:t xml:space="preserve"> Transition Coordinator attends Statewide Vision Network meetings hosted by the specialist for the blind/visually impaired (BVI) with the Department of Education to stay engaged and up to date on BVI instruction throughout the state. They sit on the BVI Advisory Committee to collaborate and develop additional opportunities for students in and out of the classroom. </w:t>
      </w:r>
      <w:r>
        <w:t>The</w:t>
      </w:r>
      <w:r w:rsidRPr="00DE5587">
        <w:t xml:space="preserve"> </w:t>
      </w:r>
      <w:r w:rsidR="0024742D">
        <w:t xml:space="preserve">Pre-ETS </w:t>
      </w:r>
      <w:r w:rsidR="00835200">
        <w:t>and</w:t>
      </w:r>
      <w:r w:rsidRPr="00DE5587">
        <w:t xml:space="preserve"> Transition Coordinator and other SSB staff</w:t>
      </w:r>
      <w:r w:rsidR="00D472AD">
        <w:t>,</w:t>
      </w:r>
      <w:r w:rsidRPr="00DE5587">
        <w:t xml:space="preserve"> as appropriate</w:t>
      </w:r>
      <w:r w:rsidR="00D472AD">
        <w:t>,</w:t>
      </w:r>
      <w:r w:rsidRPr="00DE5587">
        <w:t xml:space="preserve"> also attend the annual Minnesota Division on Vision Impairments TBVI and COMS Conference in the fall every year to network and collaborate with teachers statewide.   </w:t>
      </w:r>
    </w:p>
    <w:p w14:paraId="1B5400F9" w14:textId="77777777" w:rsidR="009231AD" w:rsidRPr="00DE5587" w:rsidRDefault="009231AD" w:rsidP="009231AD">
      <w:r>
        <w:t> </w:t>
      </w:r>
    </w:p>
    <w:p w14:paraId="00B5FF37" w14:textId="72AF98F6" w:rsidR="009231AD" w:rsidRDefault="009231AD" w:rsidP="009231AD">
      <w:r w:rsidRPr="004C27CA">
        <w:rPr>
          <w:i/>
        </w:rPr>
        <w:t>Identified needs and how they are being addressed</w:t>
      </w:r>
    </w:p>
    <w:p w14:paraId="610CA1A4" w14:textId="74BA0255" w:rsidR="009231AD" w:rsidRPr="00DE5587" w:rsidRDefault="009231AD" w:rsidP="009231AD">
      <w:r>
        <w:lastRenderedPageBreak/>
        <w:t>SSB</w:t>
      </w:r>
      <w:r w:rsidRPr="00DE5587">
        <w:t xml:space="preserve"> ha</w:t>
      </w:r>
      <w:r>
        <w:t>s</w:t>
      </w:r>
      <w:r w:rsidRPr="00DE5587">
        <w:t xml:space="preserve"> identified three gaps that need to be filled; these gaps were identified in previous needs assessments and </w:t>
      </w:r>
      <w:r w:rsidR="00D472AD">
        <w:t xml:space="preserve">are still </w:t>
      </w:r>
      <w:r w:rsidRPr="00DE5587">
        <w:t>ongoing needs. </w:t>
      </w:r>
    </w:p>
    <w:p w14:paraId="3CA2076B" w14:textId="77777777" w:rsidR="009231AD" w:rsidRPr="00DE5587" w:rsidRDefault="009231AD" w:rsidP="009231AD">
      <w:r w:rsidRPr="00DE5587">
        <w:t> </w:t>
      </w:r>
    </w:p>
    <w:p w14:paraId="2F0355F6" w14:textId="77777777" w:rsidR="009231AD" w:rsidRPr="00DE5587" w:rsidRDefault="009231AD" w:rsidP="005F7A22">
      <w:pPr>
        <w:numPr>
          <w:ilvl w:val="0"/>
          <w:numId w:val="59"/>
        </w:numPr>
      </w:pPr>
      <w:r w:rsidRPr="00DE5587">
        <w:t>Students being unprepared for post-secondary training. </w:t>
      </w:r>
    </w:p>
    <w:p w14:paraId="2E0579C9" w14:textId="77777777" w:rsidR="009231AD" w:rsidRPr="00DE5587" w:rsidRDefault="009231AD" w:rsidP="005F7A22">
      <w:pPr>
        <w:numPr>
          <w:ilvl w:val="0"/>
          <w:numId w:val="60"/>
        </w:numPr>
      </w:pPr>
      <w:r w:rsidRPr="00DE5587">
        <w:t>Spending the 15% set aside. </w:t>
      </w:r>
    </w:p>
    <w:p w14:paraId="231DEF6F" w14:textId="77777777" w:rsidR="009231AD" w:rsidRPr="00DE5587" w:rsidRDefault="009231AD" w:rsidP="005F7A22">
      <w:pPr>
        <w:numPr>
          <w:ilvl w:val="0"/>
          <w:numId w:val="61"/>
        </w:numPr>
      </w:pPr>
      <w:r w:rsidRPr="00DE5587">
        <w:t>Services for students who have multiple challenges. </w:t>
      </w:r>
    </w:p>
    <w:p w14:paraId="4E773FE1" w14:textId="77777777" w:rsidR="009231AD" w:rsidRPr="00DE5587" w:rsidRDefault="009231AD" w:rsidP="009231AD">
      <w:r w:rsidRPr="00DE5587">
        <w:t> </w:t>
      </w:r>
    </w:p>
    <w:p w14:paraId="4FDA6A50" w14:textId="6E0AAA37" w:rsidR="009231AD" w:rsidRPr="00DE5587" w:rsidRDefault="009231AD" w:rsidP="009231AD">
      <w:r w:rsidRPr="00DE5587">
        <w:t xml:space="preserve">As is generally the case, identifying gaps does not imply that nothing is currently being done in these areas. </w:t>
      </w:r>
      <w:r w:rsidR="004B05D8">
        <w:t>Rather, t</w:t>
      </w:r>
      <w:r w:rsidRPr="00DE5587">
        <w:t>he intent here is</w:t>
      </w:r>
      <w:r w:rsidR="00650A17">
        <w:t xml:space="preserve"> </w:t>
      </w:r>
      <w:r w:rsidRPr="00DE5587">
        <w:t xml:space="preserve">to indicate that the need for more attention is a priority. SSB has developed contracts with various community partners to help assess Pre-ETS and transition needs while providing innovative transition programming to address those needs. SSB’s </w:t>
      </w:r>
      <w:r w:rsidR="003967C2">
        <w:t xml:space="preserve">Pre-ETS </w:t>
      </w:r>
      <w:r w:rsidR="00835200">
        <w:t>and</w:t>
      </w:r>
      <w:r w:rsidRPr="00DE5587">
        <w:t xml:space="preserve"> transition staff has also expanded to ensure needs are assessed and addressed.  </w:t>
      </w:r>
    </w:p>
    <w:p w14:paraId="092D5529" w14:textId="77777777" w:rsidR="009231AD" w:rsidRPr="00DE5587" w:rsidRDefault="009231AD" w:rsidP="009231AD">
      <w:r w:rsidRPr="00DE5587">
        <w:t> </w:t>
      </w:r>
    </w:p>
    <w:p w14:paraId="429C4781" w14:textId="07368DBF" w:rsidR="00D43778" w:rsidRDefault="009231AD" w:rsidP="009231AD">
      <w:r w:rsidRPr="00DE5587">
        <w:t xml:space="preserve">SSB has expanded its Pre-ETS </w:t>
      </w:r>
      <w:r w:rsidR="00835200">
        <w:t>and</w:t>
      </w:r>
      <w:r w:rsidR="003967C2">
        <w:t xml:space="preserve"> transition </w:t>
      </w:r>
      <w:r w:rsidRPr="00DE5587">
        <w:t xml:space="preserve">staff to ensure </w:t>
      </w:r>
      <w:r>
        <w:t>it</w:t>
      </w:r>
      <w:r w:rsidRPr="00DE5587">
        <w:t xml:space="preserve"> continue</w:t>
      </w:r>
      <w:r>
        <w:t>s</w:t>
      </w:r>
      <w:r w:rsidRPr="00DE5587">
        <w:t xml:space="preserve"> to meet the needs of students throughout the state and make certain that our work is managed under consistent supervision. </w:t>
      </w:r>
      <w:r>
        <w:t>A</w:t>
      </w:r>
      <w:r w:rsidRPr="00DE5587">
        <w:t xml:space="preserve"> Pre-ETS and Transition Program Manager </w:t>
      </w:r>
      <w:r>
        <w:t xml:space="preserve">was hired </w:t>
      </w:r>
      <w:r w:rsidRPr="00DE5587">
        <w:t xml:space="preserve">to manage the Pre-ETS budget, contracts, </w:t>
      </w:r>
      <w:r>
        <w:t xml:space="preserve">and </w:t>
      </w:r>
      <w:r w:rsidRPr="00DE5587">
        <w:t xml:space="preserve">policy, </w:t>
      </w:r>
      <w:r w:rsidR="006E2900" w:rsidRPr="00DE5587">
        <w:t>a</w:t>
      </w:r>
      <w:r w:rsidR="006E2900">
        <w:t>s well as</w:t>
      </w:r>
      <w:r w:rsidR="006E2900" w:rsidRPr="00DE5587">
        <w:t xml:space="preserve"> </w:t>
      </w:r>
      <w:r w:rsidRPr="00DE5587">
        <w:t xml:space="preserve">supervise </w:t>
      </w:r>
      <w:r w:rsidR="006E2900">
        <w:t xml:space="preserve">the </w:t>
      </w:r>
      <w:r w:rsidRPr="00DE5587">
        <w:t xml:space="preserve">Pre-ETS </w:t>
      </w:r>
      <w:r w:rsidR="006E2900">
        <w:t>and transition direct service staff</w:t>
      </w:r>
      <w:r w:rsidRPr="00DE5587">
        <w:t xml:space="preserve">. </w:t>
      </w:r>
      <w:r>
        <w:t>A</w:t>
      </w:r>
      <w:r w:rsidRPr="00DE5587">
        <w:t xml:space="preserve"> second Work Opportunities Navigator located in Greater Minnesota</w:t>
      </w:r>
      <w:r w:rsidR="001E4EA1">
        <w:t>,</w:t>
      </w:r>
      <w:r w:rsidRPr="00DE5587">
        <w:t xml:space="preserve"> </w:t>
      </w:r>
      <w:r w:rsidR="001E4EA1">
        <w:t>and</w:t>
      </w:r>
      <w:r w:rsidR="00D13780">
        <w:t xml:space="preserve"> </w:t>
      </w:r>
      <w:r w:rsidRPr="00DE5587">
        <w:t>available to deliver the five core Pre-ETS to all students</w:t>
      </w:r>
      <w:r w:rsidR="001E4EA1">
        <w:t>,</w:t>
      </w:r>
      <w:r>
        <w:t xml:space="preserve"> was also added</w:t>
      </w:r>
      <w:r w:rsidRPr="00DE5587">
        <w:t xml:space="preserve">. </w:t>
      </w:r>
      <w:r w:rsidR="00AB18DA">
        <w:t xml:space="preserve">SSB is in the process of </w:t>
      </w:r>
      <w:r w:rsidR="00AE326F">
        <w:t xml:space="preserve">hiring a Multiple Systems and Pathways Coordinator, who will be responsible </w:t>
      </w:r>
      <w:r w:rsidR="007E40BA">
        <w:t xml:space="preserve">for helping students with the most significant of disabilities and their families navigate </w:t>
      </w:r>
      <w:r w:rsidR="000911A9">
        <w:t>the complex federal, state, and local services and resources to transition from school to work.</w:t>
      </w:r>
      <w:r w:rsidR="004D43F0">
        <w:t xml:space="preserve"> </w:t>
      </w:r>
    </w:p>
    <w:p w14:paraId="2456604A" w14:textId="10DE7495" w:rsidR="00653ADB" w:rsidRDefault="009231AD" w:rsidP="009231AD">
      <w:r w:rsidRPr="00DE5587">
        <w:t xml:space="preserve">These </w:t>
      </w:r>
      <w:r w:rsidR="004D43F0">
        <w:t>3</w:t>
      </w:r>
      <w:r w:rsidRPr="00DE5587">
        <w:t xml:space="preserve"> new staff comprise </w:t>
      </w:r>
      <w:r>
        <w:t>the</w:t>
      </w:r>
      <w:r w:rsidRPr="00DE5587">
        <w:t xml:space="preserve"> complement of 1 Pre-ETS and Transition Manager, 1 Pre-ETS </w:t>
      </w:r>
      <w:r w:rsidR="006E2900">
        <w:t>and Transition</w:t>
      </w:r>
      <w:r w:rsidRPr="00DE5587">
        <w:t xml:space="preserve"> Coordinator, 2 Work Opportunities Navigators, 3 dedicated Pre-ETS </w:t>
      </w:r>
      <w:r w:rsidR="006E2900">
        <w:t>and Transition</w:t>
      </w:r>
      <w:r w:rsidRPr="00DE5587">
        <w:t xml:space="preserve"> counselors in the </w:t>
      </w:r>
      <w:r w:rsidR="0080542F">
        <w:t>seven-county</w:t>
      </w:r>
      <w:r w:rsidRPr="00DE5587">
        <w:t xml:space="preserve"> metro area, and 1 dedicated Pre-ETS </w:t>
      </w:r>
      <w:r w:rsidR="00AB18DA" w:rsidRPr="00DE5587">
        <w:t>A</w:t>
      </w:r>
      <w:r w:rsidR="00AB18DA">
        <w:t>ssistive</w:t>
      </w:r>
      <w:r w:rsidR="00AB18DA" w:rsidRPr="00DE5587">
        <w:t xml:space="preserve"> </w:t>
      </w:r>
      <w:r w:rsidRPr="00DE5587">
        <w:t xml:space="preserve">Technology </w:t>
      </w:r>
      <w:r w:rsidR="00AB18DA">
        <w:t>Specialist</w:t>
      </w:r>
      <w:r w:rsidRPr="00DE5587">
        <w:t xml:space="preserve">. All counselors outside of the metro area serve both </w:t>
      </w:r>
      <w:r w:rsidR="001F7BC3">
        <w:t>students</w:t>
      </w:r>
      <w:r w:rsidR="001F7BC3" w:rsidRPr="00DE5587">
        <w:t xml:space="preserve"> and adult</w:t>
      </w:r>
      <w:r w:rsidR="001F7BC3">
        <w:t>s</w:t>
      </w:r>
      <w:r w:rsidR="001F7BC3" w:rsidRPr="00DE5587">
        <w:t>.</w:t>
      </w:r>
    </w:p>
    <w:p w14:paraId="01738DD0" w14:textId="77777777" w:rsidR="00653ADB" w:rsidRDefault="00653ADB" w:rsidP="009231AD"/>
    <w:p w14:paraId="2B28AE0F" w14:textId="05C76428" w:rsidR="009231AD" w:rsidRPr="00DE5587" w:rsidRDefault="009231AD" w:rsidP="009231AD">
      <w:r w:rsidRPr="00DE5587">
        <w:t>In addition to the</w:t>
      </w:r>
      <w:r w:rsidR="001F7BC3">
        <w:t xml:space="preserve"> </w:t>
      </w:r>
      <w:r>
        <w:t>roles</w:t>
      </w:r>
      <w:r w:rsidR="001F7BC3">
        <w:t xml:space="preserve"> mentioned above</w:t>
      </w:r>
      <w:r w:rsidRPr="00DE5587">
        <w:t xml:space="preserve">, we have staffed positions for orientation and mobility training, job coaching, and rehabilitation teaching that are available to students. </w:t>
      </w:r>
      <w:r>
        <w:t>SSB has</w:t>
      </w:r>
      <w:r w:rsidRPr="00DE5587">
        <w:t xml:space="preserve"> 1 </w:t>
      </w:r>
      <w:r w:rsidR="00034BB8">
        <w:t>e</w:t>
      </w:r>
      <w:r w:rsidRPr="00DE5587">
        <w:t xml:space="preserve">mployment </w:t>
      </w:r>
      <w:r w:rsidR="00034BB8">
        <w:t>s</w:t>
      </w:r>
      <w:r w:rsidRPr="00DE5587">
        <w:t>pecialist who specializes in working with DeafBlind Pre-ETS students. </w:t>
      </w:r>
    </w:p>
    <w:p w14:paraId="52AA36B6" w14:textId="77777777" w:rsidR="009231AD" w:rsidRPr="00DE5587" w:rsidRDefault="009231AD" w:rsidP="009231AD">
      <w:r w:rsidRPr="00DE5587">
        <w:t> </w:t>
      </w:r>
    </w:p>
    <w:p w14:paraId="6701C5F9" w14:textId="2396B7CA" w:rsidR="009231AD" w:rsidRDefault="009231AD" w:rsidP="009231AD">
      <w:pPr>
        <w:rPr>
          <w:rFonts w:ascii="Calibri" w:hAnsi="Calibri" w:cs="Calibri"/>
        </w:rPr>
      </w:pPr>
      <w:r>
        <w:rPr>
          <w:rFonts w:ascii="Calibri" w:hAnsi="Calibri" w:cs="Calibri"/>
        </w:rPr>
        <w:t>SSB has a continued need for additional service providers and</w:t>
      </w:r>
      <w:r w:rsidRPr="00764EFE">
        <w:rPr>
          <w:rFonts w:ascii="Calibri" w:hAnsi="Calibri" w:cs="Calibri"/>
        </w:rPr>
        <w:t xml:space="preserve"> allow</w:t>
      </w:r>
      <w:r>
        <w:rPr>
          <w:rFonts w:ascii="Calibri" w:hAnsi="Calibri" w:cs="Calibri"/>
        </w:rPr>
        <w:t>s</w:t>
      </w:r>
      <w:r w:rsidRPr="00764EFE">
        <w:rPr>
          <w:rFonts w:ascii="Calibri" w:hAnsi="Calibri" w:cs="Calibri"/>
        </w:rPr>
        <w:t xml:space="preserve"> </w:t>
      </w:r>
      <w:r>
        <w:rPr>
          <w:rFonts w:ascii="Calibri" w:hAnsi="Calibri" w:cs="Calibri"/>
        </w:rPr>
        <w:t>applications for contracts</w:t>
      </w:r>
      <w:r w:rsidRPr="00764EFE">
        <w:rPr>
          <w:rFonts w:ascii="Calibri" w:hAnsi="Calibri" w:cs="Calibri"/>
        </w:rPr>
        <w:t xml:space="preserve"> through the Request For Proposal (RFP) process</w:t>
      </w:r>
      <w:r w:rsidR="00177C59">
        <w:rPr>
          <w:rFonts w:ascii="Calibri" w:hAnsi="Calibri" w:cs="Calibri"/>
        </w:rPr>
        <w:t>,</w:t>
      </w:r>
      <w:r w:rsidRPr="00764EFE">
        <w:rPr>
          <w:rFonts w:ascii="Calibri" w:hAnsi="Calibri" w:cs="Calibri"/>
        </w:rPr>
        <w:t xml:space="preserve"> as SSB continues to seek out impactful opportunities for students to engage in local and national organizations.   </w:t>
      </w:r>
    </w:p>
    <w:p w14:paraId="4A14C3D6" w14:textId="77777777" w:rsidR="009231AD" w:rsidRPr="00764EFE" w:rsidRDefault="009231AD" w:rsidP="009231AD">
      <w:pPr>
        <w:rPr>
          <w:rFonts w:ascii="Calibri" w:hAnsi="Calibri" w:cs="Calibri"/>
        </w:rPr>
      </w:pPr>
    </w:p>
    <w:p w14:paraId="19A9D58A" w14:textId="1F54E5A8" w:rsidR="009231AD" w:rsidRPr="00DE5587" w:rsidRDefault="009231AD" w:rsidP="009231AD">
      <w:r>
        <w:t xml:space="preserve">The COVID-19 pandemic has brought about </w:t>
      </w:r>
      <w:r w:rsidRPr="00DE5587">
        <w:t>additional community partners to provide</w:t>
      </w:r>
      <w:r>
        <w:t xml:space="preserve"> </w:t>
      </w:r>
      <w:r w:rsidRPr="00DE5587">
        <w:t xml:space="preserve">Pre-ETS </w:t>
      </w:r>
      <w:r>
        <w:t xml:space="preserve">virtually </w:t>
      </w:r>
      <w:r w:rsidRPr="00DE5587">
        <w:t xml:space="preserve">in ways </w:t>
      </w:r>
      <w:r>
        <w:t>that</w:t>
      </w:r>
      <w:r w:rsidRPr="00DE5587">
        <w:t xml:space="preserve"> had</w:t>
      </w:r>
      <w:r>
        <w:t xml:space="preserve"> not been</w:t>
      </w:r>
      <w:r w:rsidRPr="00DE5587">
        <w:t xml:space="preserve"> options before. Virtual work-based learning experiences are offered through </w:t>
      </w:r>
      <w:proofErr w:type="spellStart"/>
      <w:r w:rsidRPr="00DE5587">
        <w:t>ReSOURCE</w:t>
      </w:r>
      <w:proofErr w:type="spellEnd"/>
      <w:r w:rsidRPr="00DE5587">
        <w:t>/LEAP, a community partner out of Vermont. They provide opportunities for students to engage in hands-on work experiences where students actively engage in pre-employment transition skill building including career mentorship, communication, teamwork, problem-solving, professionalism, time management, goal setting, leadership, and more. They also offer</w:t>
      </w:r>
      <w:r>
        <w:t xml:space="preserve"> workplace</w:t>
      </w:r>
      <w:r w:rsidRPr="00DE5587">
        <w:t xml:space="preserve"> readiness training in various areas to help low vision, blind, and DeafBlind students build valuable skills needed for the workforce.  </w:t>
      </w:r>
    </w:p>
    <w:p w14:paraId="2371DF15" w14:textId="77777777" w:rsidR="009231AD" w:rsidRPr="00DE5587" w:rsidRDefault="009231AD" w:rsidP="009231AD">
      <w:r w:rsidRPr="00DE5587">
        <w:t> </w:t>
      </w:r>
    </w:p>
    <w:p w14:paraId="6287FB33" w14:textId="4B948496" w:rsidR="009231AD" w:rsidRPr="00DE5587" w:rsidRDefault="009231AD" w:rsidP="009231AD">
      <w:r w:rsidRPr="00DE5587">
        <w:t xml:space="preserve">SSB </w:t>
      </w:r>
      <w:r>
        <w:t>has</w:t>
      </w:r>
      <w:r w:rsidRPr="00DE5587">
        <w:t xml:space="preserve"> contract</w:t>
      </w:r>
      <w:r>
        <w:t>ed</w:t>
      </w:r>
      <w:r w:rsidRPr="00DE5587">
        <w:t xml:space="preserve"> with </w:t>
      </w:r>
      <w:r>
        <w:t>the</w:t>
      </w:r>
      <w:r w:rsidRPr="00DE5587">
        <w:t xml:space="preserve"> local nonprofit Wilderness Inquiry. They have partnered with SSB to provide outdoor education and experiences while instructing on self-advocacy and</w:t>
      </w:r>
      <w:r w:rsidR="00F73E3C">
        <w:t xml:space="preserve"> workplace readiness training.</w:t>
      </w:r>
      <w:r w:rsidRPr="00DE5587">
        <w:t xml:space="preserve"> As of the fall of 2023, two summer canoe trips </w:t>
      </w:r>
      <w:r>
        <w:t xml:space="preserve">have </w:t>
      </w:r>
      <w:r w:rsidRPr="00DE5587">
        <w:t xml:space="preserve">been coordinated, </w:t>
      </w:r>
      <w:r w:rsidR="00EF055A">
        <w:t>plus</w:t>
      </w:r>
      <w:r w:rsidR="00EF055A" w:rsidRPr="00DE5587">
        <w:t xml:space="preserve"> </w:t>
      </w:r>
      <w:r>
        <w:t xml:space="preserve">a </w:t>
      </w:r>
      <w:r w:rsidRPr="00DE5587">
        <w:t>winter activity for students to engage in self-advocacy instruction and peer mentoring opportunities</w:t>
      </w:r>
      <w:r w:rsidR="00785534">
        <w:t xml:space="preserve"> </w:t>
      </w:r>
      <w:r w:rsidR="00EF055A">
        <w:t>are</w:t>
      </w:r>
      <w:r>
        <w:t xml:space="preserve"> being discussed</w:t>
      </w:r>
      <w:r w:rsidRPr="00DE5587">
        <w:t>.  </w:t>
      </w:r>
    </w:p>
    <w:p w14:paraId="15BCB3D0" w14:textId="77777777" w:rsidR="009231AD" w:rsidRPr="00DE5587" w:rsidRDefault="009231AD" w:rsidP="009231AD">
      <w:r w:rsidRPr="00DE5587">
        <w:t> </w:t>
      </w:r>
    </w:p>
    <w:p w14:paraId="034AF5B4" w14:textId="01640E49" w:rsidR="009231AD" w:rsidRPr="00DE5587" w:rsidRDefault="009231AD" w:rsidP="009231AD">
      <w:r>
        <w:t>SSB has contracted</w:t>
      </w:r>
      <w:r w:rsidRPr="00DE5587">
        <w:t xml:space="preserve"> with Envision</w:t>
      </w:r>
      <w:r>
        <w:t xml:space="preserve"> Foundation</w:t>
      </w:r>
      <w:r w:rsidRPr="00DE5587">
        <w:t xml:space="preserve"> for their all-virtual College Success Program (formerly offered through Learning Ally</w:t>
      </w:r>
      <w:r>
        <w:t>)</w:t>
      </w:r>
      <w:r w:rsidRPr="00DE5587">
        <w:t xml:space="preserve">. The all-virtual College Success Program offers a holistic support system that utilizes the knowledge and experience of experts in the blindness field as well as blind or visually impaired college graduates to help guide students as they transition from high school to college and employment. </w:t>
      </w:r>
      <w:r w:rsidR="00EF055A">
        <w:t>This</w:t>
      </w:r>
      <w:r w:rsidR="00EF055A" w:rsidRPr="00DE5587">
        <w:t xml:space="preserve"> </w:t>
      </w:r>
      <w:r w:rsidRPr="00DE5587">
        <w:t>support system includes: </w:t>
      </w:r>
    </w:p>
    <w:p w14:paraId="6DC0A446" w14:textId="7684AAB5" w:rsidR="009231AD" w:rsidRPr="00DE5587" w:rsidRDefault="009231AD" w:rsidP="005F7A22">
      <w:pPr>
        <w:numPr>
          <w:ilvl w:val="0"/>
          <w:numId w:val="62"/>
        </w:numPr>
      </w:pPr>
      <w:r w:rsidRPr="00DE5587">
        <w:t xml:space="preserve">Resources – </w:t>
      </w:r>
      <w:r w:rsidR="00EF055A">
        <w:t xml:space="preserve"> r</w:t>
      </w:r>
      <w:r w:rsidR="00EF055A" w:rsidRPr="00DE5587">
        <w:t>obust</w:t>
      </w:r>
      <w:r w:rsidRPr="00DE5587">
        <w:t>, carefully crafted, and designed to address situations encountered by blind or visually impaired college students. </w:t>
      </w:r>
    </w:p>
    <w:p w14:paraId="126AFFE1" w14:textId="7A2BD84C" w:rsidR="009231AD" w:rsidRPr="00DE5587" w:rsidRDefault="009231AD" w:rsidP="005F7A22">
      <w:pPr>
        <w:numPr>
          <w:ilvl w:val="0"/>
          <w:numId w:val="62"/>
        </w:numPr>
      </w:pPr>
      <w:r w:rsidRPr="00DE5587">
        <w:lastRenderedPageBreak/>
        <w:t xml:space="preserve">Mentorship – </w:t>
      </w:r>
      <w:r w:rsidR="00EF055A">
        <w:t xml:space="preserve"> m</w:t>
      </w:r>
      <w:r w:rsidR="00EF055A" w:rsidRPr="00DE5587">
        <w:t>entors</w:t>
      </w:r>
      <w:r w:rsidRPr="00DE5587">
        <w:t xml:space="preserve">, who are recent college graduates </w:t>
      </w:r>
      <w:r w:rsidR="00EF055A">
        <w:t>and</w:t>
      </w:r>
      <w:r w:rsidR="00EF055A" w:rsidRPr="00DE5587">
        <w:t xml:space="preserve"> </w:t>
      </w:r>
      <w:r w:rsidRPr="00DE5587">
        <w:t xml:space="preserve">are blind or visually impaired themselves, help their mentees navigate college experiences </w:t>
      </w:r>
      <w:r w:rsidR="00EF055A">
        <w:t>including</w:t>
      </w:r>
      <w:r w:rsidR="00EF055A" w:rsidRPr="00DE5587">
        <w:t xml:space="preserve"> </w:t>
      </w:r>
      <w:r w:rsidRPr="00DE5587">
        <w:t>a job hunt that is unique to them</w:t>
      </w:r>
      <w:r w:rsidR="00EF055A">
        <w:t>,</w:t>
      </w:r>
      <w:r w:rsidRPr="00DE5587">
        <w:t xml:space="preserve"> and provide them with as much or as little support as they’d like. </w:t>
      </w:r>
    </w:p>
    <w:p w14:paraId="2DE71B41" w14:textId="7F15D4C4" w:rsidR="009231AD" w:rsidRPr="00DE5587" w:rsidRDefault="009231AD" w:rsidP="005F7A22">
      <w:pPr>
        <w:numPr>
          <w:ilvl w:val="0"/>
          <w:numId w:val="62"/>
        </w:numPr>
      </w:pPr>
      <w:r w:rsidRPr="00DE5587">
        <w:t xml:space="preserve">Meetups – </w:t>
      </w:r>
      <w:r w:rsidR="00EF055A">
        <w:t>h</w:t>
      </w:r>
      <w:r w:rsidR="00EF055A" w:rsidRPr="00DE5587">
        <w:t xml:space="preserve">eld </w:t>
      </w:r>
      <w:r w:rsidRPr="00DE5587">
        <w:t>virtually, these meetups are opportunities for students to connect with their peers to talk about issues, ask questions, network, make connections, and more. </w:t>
      </w:r>
    </w:p>
    <w:p w14:paraId="160D4F27" w14:textId="77777777" w:rsidR="009231AD" w:rsidRPr="00DE5587" w:rsidRDefault="009231AD" w:rsidP="005F7A22">
      <w:pPr>
        <w:numPr>
          <w:ilvl w:val="0"/>
          <w:numId w:val="62"/>
        </w:numPr>
      </w:pPr>
      <w:r w:rsidRPr="00DE5587">
        <w:t>Audiobook Solution – College Success Program membership includes access to Learning Ally’s Audiobook Solution with over 80,000 human-read audiobooks. </w:t>
      </w:r>
    </w:p>
    <w:p w14:paraId="17A24A09" w14:textId="77777777" w:rsidR="009231AD" w:rsidRPr="00DE5587" w:rsidRDefault="009231AD" w:rsidP="009231AD">
      <w:r w:rsidRPr="00DE5587">
        <w:t> </w:t>
      </w:r>
    </w:p>
    <w:p w14:paraId="47FEFDF5" w14:textId="7107251F" w:rsidR="009231AD" w:rsidRPr="00DE5587" w:rsidRDefault="009231AD" w:rsidP="009231AD">
      <w:r w:rsidRPr="00DE5587">
        <w:t xml:space="preserve">Sky’s The Limit Communications through David DeNotaris </w:t>
      </w:r>
      <w:r>
        <w:t xml:space="preserve">is contracted with SSB. </w:t>
      </w:r>
      <w:r w:rsidRPr="00DE5587">
        <w:t xml:space="preserve">David and his partner Eileen Rivera Ley </w:t>
      </w:r>
      <w:r>
        <w:t xml:space="preserve">provided </w:t>
      </w:r>
      <w:r w:rsidRPr="00DE5587">
        <w:t>two days of instruction in self-advocacy and personal finance</w:t>
      </w:r>
      <w:r w:rsidRPr="009705A4">
        <w:t xml:space="preserve"> </w:t>
      </w:r>
      <w:r w:rsidRPr="00DE5587">
        <w:t>with SSB students in June of 2023</w:t>
      </w:r>
      <w:r>
        <w:t xml:space="preserve"> and more trainings are planned</w:t>
      </w:r>
      <w:r w:rsidRPr="00DE5587">
        <w:t xml:space="preserve">. This contract affords both virtual and in-person Pre-ETS in four of the five required areas. This </w:t>
      </w:r>
      <w:r>
        <w:t>flexibility</w:t>
      </w:r>
      <w:r w:rsidRPr="00DE5587">
        <w:t xml:space="preserve"> allows SSB to bridge some of the gaps in delivering services in greater Minnesota through virtual programming</w:t>
      </w:r>
      <w:r w:rsidR="00EF055A">
        <w:t>,</w:t>
      </w:r>
      <w:r w:rsidRPr="00DE5587">
        <w:t xml:space="preserve"> as students in rural areas frequently miss out on programming held in the Twin Cities.  </w:t>
      </w:r>
    </w:p>
    <w:p w14:paraId="1C616CCF" w14:textId="77777777" w:rsidR="009231AD" w:rsidRDefault="009231AD" w:rsidP="009231AD">
      <w:r w:rsidRPr="00DE5587">
        <w:t> </w:t>
      </w:r>
    </w:p>
    <w:p w14:paraId="6097FBA4" w14:textId="76CEDFDB" w:rsidR="009231AD" w:rsidRPr="00855BD7" w:rsidRDefault="009231AD" w:rsidP="009231AD">
      <w:r>
        <w:t xml:space="preserve">SSB recently developed a contract with </w:t>
      </w:r>
      <w:r w:rsidRPr="00855BD7">
        <w:t>Perkins School for the Blind</w:t>
      </w:r>
      <w:r>
        <w:t xml:space="preserve"> that </w:t>
      </w:r>
      <w:r w:rsidRPr="00855BD7">
        <w:t xml:space="preserve">will allow aspiring college students to engage in their College Success Compass </w:t>
      </w:r>
      <w:r>
        <w:t>P</w:t>
      </w:r>
      <w:r w:rsidRPr="00855BD7">
        <w:t xml:space="preserve">rogram to work on college </w:t>
      </w:r>
      <w:r w:rsidR="0075423A">
        <w:t>preparedness</w:t>
      </w:r>
      <w:r w:rsidR="0080123E" w:rsidRPr="00855BD7">
        <w:t xml:space="preserve"> </w:t>
      </w:r>
      <w:r w:rsidRPr="00855BD7">
        <w:t>and valuable workplace readiness skills</w:t>
      </w:r>
      <w:r>
        <w:t>. V</w:t>
      </w:r>
      <w:r w:rsidRPr="00855BD7">
        <w:t>anward Consulting</w:t>
      </w:r>
      <w:r>
        <w:t xml:space="preserve"> Services will also partner with SSB to</w:t>
      </w:r>
      <w:r w:rsidRPr="00855BD7">
        <w:t xml:space="preserve"> offer students opportunities in job exploration counseling, workplace readiness training, and work-based learning opportunities.  </w:t>
      </w:r>
    </w:p>
    <w:p w14:paraId="419DB67E" w14:textId="77777777" w:rsidR="009231AD" w:rsidRPr="00DE5587" w:rsidRDefault="009231AD" w:rsidP="009231AD"/>
    <w:p w14:paraId="5A6ED989" w14:textId="103B163C" w:rsidR="009231AD" w:rsidRPr="001B4E3E" w:rsidRDefault="009231AD" w:rsidP="009231AD">
      <w:r w:rsidRPr="001B4E3E">
        <w:t>SSB’s</w:t>
      </w:r>
      <w:r w:rsidR="00C655D7">
        <w:t xml:space="preserve"> Pre-ETS and</w:t>
      </w:r>
      <w:r w:rsidRPr="001B4E3E">
        <w:t xml:space="preserve"> transition team is planning to create an ambassador program to enhance opportunities for self-advocacy instruction and peer mentoring opportunities. Staff realize how important mentorship opportunities are for students and how students connect and develop friendships across the state when events take place that bring students together. The objective of this program </w:t>
      </w:r>
      <w:r w:rsidR="00BF5271">
        <w:t>is</w:t>
      </w:r>
      <w:r w:rsidRPr="001B4E3E">
        <w:t xml:space="preserve"> to bring students together more frequently to increase opportunities for </w:t>
      </w:r>
      <w:r w:rsidR="003619FD">
        <w:t>them</w:t>
      </w:r>
      <w:r w:rsidR="003619FD" w:rsidRPr="001B4E3E">
        <w:t xml:space="preserve"> </w:t>
      </w:r>
      <w:r w:rsidRPr="001B4E3E">
        <w:t xml:space="preserve">to connect and learn from each other. Mentors will be supported through the SSB </w:t>
      </w:r>
      <w:r w:rsidR="00ED29C4">
        <w:t>Pre-ETS and</w:t>
      </w:r>
      <w:r w:rsidRPr="001B4E3E">
        <w:t xml:space="preserve"> transition team, and these students will </w:t>
      </w:r>
      <w:r>
        <w:t xml:space="preserve">also help with </w:t>
      </w:r>
      <w:r w:rsidRPr="001B4E3E">
        <w:t>recruiting efforts for programming</w:t>
      </w:r>
      <w:r>
        <w:t xml:space="preserve">. </w:t>
      </w:r>
      <w:r w:rsidRPr="001B4E3E">
        <w:t xml:space="preserve"> SSB </w:t>
      </w:r>
      <w:r>
        <w:t>recognizes</w:t>
      </w:r>
      <w:r w:rsidRPr="001B4E3E">
        <w:t xml:space="preserve"> that students are more likely to engage in programming when they know others who are attending or are invited by their peers versus counselors and other SSB staff.  </w:t>
      </w:r>
    </w:p>
    <w:p w14:paraId="699C4DD6" w14:textId="77777777" w:rsidR="009231AD" w:rsidRPr="00DE5587" w:rsidRDefault="009231AD" w:rsidP="009231AD">
      <w:r w:rsidRPr="00DE5587">
        <w:t> </w:t>
      </w:r>
    </w:p>
    <w:p w14:paraId="2C62E841" w14:textId="19111C23" w:rsidR="009231AD" w:rsidRPr="00DE5587" w:rsidRDefault="009231AD" w:rsidP="009231AD">
      <w:r w:rsidRPr="00DE5587">
        <w:t>The Summer Transition Program (STP)</w:t>
      </w:r>
      <w:r>
        <w:t>,</w:t>
      </w:r>
      <w:r w:rsidRPr="00DE5587">
        <w:t xml:space="preserve"> a joint collaboration between the Minnesota Department of Education, Local Education Agencies, and SSB</w:t>
      </w:r>
      <w:r>
        <w:t>,</w:t>
      </w:r>
      <w:r w:rsidRPr="00DE5587">
        <w:t xml:space="preserve"> </w:t>
      </w:r>
      <w:r w:rsidR="00066048" w:rsidRPr="00DE5587">
        <w:t xml:space="preserve">is a program for students who are entering their last or second to last year of high school and have extended school year services identified in their IEP. This is typically a two-week residential program held at the University of St. Thomas in St. Paul MN, </w:t>
      </w:r>
      <w:r w:rsidR="00130835">
        <w:t>where</w:t>
      </w:r>
      <w:r w:rsidR="00130835" w:rsidRPr="00DE5587">
        <w:t xml:space="preserve"> </w:t>
      </w:r>
      <w:r w:rsidR="00066048" w:rsidRPr="00DE5587">
        <w:t>students engage in a variety of training that aligns with their IEP and IPE goals, hitting all five required Pre-ETS areas.</w:t>
      </w:r>
      <w:r w:rsidR="00066048">
        <w:t xml:space="preserve"> STP </w:t>
      </w:r>
      <w:r w:rsidRPr="00DE5587">
        <w:t xml:space="preserve">returned to in-person the summer of 2022 </w:t>
      </w:r>
      <w:r>
        <w:t>after hiatus due to</w:t>
      </w:r>
      <w:r w:rsidRPr="00DE5587">
        <w:t xml:space="preserve"> the COVID-19 pandemic. Skills are assessed by the IEP team (including </w:t>
      </w:r>
      <w:r w:rsidR="00ED29C4">
        <w:t>v</w:t>
      </w:r>
      <w:r w:rsidRPr="00DE5587">
        <w:t xml:space="preserve">ocational </w:t>
      </w:r>
      <w:r w:rsidR="00ED29C4">
        <w:t>r</w:t>
      </w:r>
      <w:r w:rsidRPr="00DE5587">
        <w:t xml:space="preserve">ehabilitation </w:t>
      </w:r>
      <w:r w:rsidR="00ED29C4">
        <w:t>c</w:t>
      </w:r>
      <w:r w:rsidRPr="00DE5587">
        <w:t>ounselors)</w:t>
      </w:r>
      <w:r w:rsidR="00C45C0C">
        <w:t>,</w:t>
      </w:r>
      <w:r w:rsidRPr="00DE5587">
        <w:t xml:space="preserve"> and this </w:t>
      </w:r>
      <w:r>
        <w:t xml:space="preserve">program </w:t>
      </w:r>
      <w:r w:rsidRPr="00DE5587">
        <w:t>is recommended for those with goals that align with this training opportunity. Students will participate in STP</w:t>
      </w:r>
      <w:r w:rsidR="00C45C0C">
        <w:t>,</w:t>
      </w:r>
      <w:r w:rsidRPr="00DE5587">
        <w:t xml:space="preserve"> work on their IEP goals</w:t>
      </w:r>
      <w:r w:rsidR="00C45C0C">
        <w:t>,</w:t>
      </w:r>
      <w:r w:rsidRPr="00DE5587">
        <w:t xml:space="preserve"> and </w:t>
      </w:r>
      <w:r w:rsidR="00972007">
        <w:t xml:space="preserve">engage </w:t>
      </w:r>
      <w:r>
        <w:t xml:space="preserve">in </w:t>
      </w:r>
      <w:r w:rsidRPr="00DE5587">
        <w:t xml:space="preserve">additional training important for success in the community. Students are offered to work with SSB’s Work Opportunities Navigators to </w:t>
      </w:r>
      <w:r w:rsidR="00C82070">
        <w:t>participate</w:t>
      </w:r>
      <w:r w:rsidR="00C82070" w:rsidRPr="00DE5587">
        <w:t xml:space="preserve"> </w:t>
      </w:r>
      <w:r w:rsidRPr="00DE5587">
        <w:t xml:space="preserve">in a work-based learning experience following the </w:t>
      </w:r>
      <w:r>
        <w:t xml:space="preserve">residential </w:t>
      </w:r>
      <w:r w:rsidRPr="00DE5587">
        <w:t>completion of STP.  </w:t>
      </w:r>
      <w:r>
        <w:t>For the summer of 2022</w:t>
      </w:r>
      <w:r w:rsidR="00A62D22">
        <w:t>,</w:t>
      </w:r>
      <w:r>
        <w:t xml:space="preserve"> there were 17 students registered and 20 were registered for the summer of 2023. </w:t>
      </w:r>
    </w:p>
    <w:p w14:paraId="6974D376" w14:textId="77777777" w:rsidR="009231AD" w:rsidRPr="00DE5587" w:rsidRDefault="009231AD" w:rsidP="009231AD">
      <w:r w:rsidRPr="00DE5587">
        <w:t> </w:t>
      </w:r>
    </w:p>
    <w:p w14:paraId="41E14B81" w14:textId="3ABD24F7" w:rsidR="009231AD" w:rsidRPr="00DE5587" w:rsidRDefault="009231AD" w:rsidP="009231AD">
      <w:pPr>
        <w:spacing w:after="60"/>
      </w:pPr>
      <w:r w:rsidRPr="00DE5587">
        <w:t xml:space="preserve">To meet the identified needs for </w:t>
      </w:r>
      <w:r>
        <w:t>youth and students with disabilities</w:t>
      </w:r>
      <w:r w:rsidRPr="00DE5587">
        <w:t>, SSB plans to continue offering a wide variety of activities to help them prepare for competitive integrated employment. Some of these activities include: </w:t>
      </w:r>
    </w:p>
    <w:p w14:paraId="7B1A7471" w14:textId="0D5F3557" w:rsidR="009231AD" w:rsidRPr="00DE5587" w:rsidRDefault="0095326A" w:rsidP="005F7A22">
      <w:pPr>
        <w:numPr>
          <w:ilvl w:val="0"/>
          <w:numId w:val="63"/>
        </w:numPr>
      </w:pPr>
      <w:r>
        <w:t>Sponsoring</w:t>
      </w:r>
      <w:r w:rsidR="007F6AFD">
        <w:t xml:space="preserve"> a</w:t>
      </w:r>
      <w:r w:rsidR="009231AD" w:rsidRPr="00DE5587">
        <w:t>djustment to blindness training or workplace readiness training offered in-house and through community partners. </w:t>
      </w:r>
    </w:p>
    <w:p w14:paraId="40F2186C" w14:textId="398B3825" w:rsidR="009231AD" w:rsidRPr="00DE5587" w:rsidRDefault="009231AD" w:rsidP="005F7A22">
      <w:pPr>
        <w:numPr>
          <w:ilvl w:val="0"/>
          <w:numId w:val="63"/>
        </w:numPr>
      </w:pPr>
      <w:r>
        <w:t>H</w:t>
      </w:r>
      <w:r w:rsidRPr="00DE5587">
        <w:t>ost</w:t>
      </w:r>
      <w:r>
        <w:t>ing</w:t>
      </w:r>
      <w:r w:rsidRPr="00DE5587">
        <w:t xml:space="preserve"> </w:t>
      </w:r>
      <w:r>
        <w:t>the annual</w:t>
      </w:r>
      <w:r w:rsidRPr="00DE5587">
        <w:t xml:space="preserve"> College 101 event, where current and former low-vision, blind, and DeafBlind students form a panel and discuss their experiences in post-secondary </w:t>
      </w:r>
      <w:r w:rsidR="00140EBF">
        <w:t>with</w:t>
      </w:r>
      <w:r w:rsidRPr="00DE5587">
        <w:t xml:space="preserve"> aspiring college students and parents. </w:t>
      </w:r>
    </w:p>
    <w:p w14:paraId="229FCD5D" w14:textId="58B113BD" w:rsidR="009231AD" w:rsidRPr="00DE5587" w:rsidRDefault="00FF1641" w:rsidP="005F7A22">
      <w:pPr>
        <w:numPr>
          <w:ilvl w:val="0"/>
          <w:numId w:val="64"/>
        </w:numPr>
      </w:pPr>
      <w:r>
        <w:t>Resuming the SSB</w:t>
      </w:r>
      <w:r w:rsidR="009231AD" w:rsidRPr="00DE5587">
        <w:t xml:space="preserve"> career fair previously held every other year. This will be a </w:t>
      </w:r>
      <w:r w:rsidR="00371AB1" w:rsidRPr="00DE5587">
        <w:t xml:space="preserve">social </w:t>
      </w:r>
      <w:r w:rsidR="00371AB1">
        <w:t>event</w:t>
      </w:r>
      <w:r w:rsidR="009231AD" w:rsidRPr="00DE5587">
        <w:t xml:space="preserve"> where low vision, blind, and DeafBlind individuals in the workforce come together and offer their experiences and mentorship to high school students</w:t>
      </w:r>
      <w:r w:rsidR="00AE2F71">
        <w:t xml:space="preserve"> with vision loss</w:t>
      </w:r>
      <w:r w:rsidR="009231AD" w:rsidRPr="00DE5587">
        <w:t>.  </w:t>
      </w:r>
    </w:p>
    <w:p w14:paraId="6796325D" w14:textId="3000CA47" w:rsidR="009231AD" w:rsidRPr="00DE5587" w:rsidRDefault="00CF0834" w:rsidP="005F7A22">
      <w:pPr>
        <w:numPr>
          <w:ilvl w:val="0"/>
          <w:numId w:val="64"/>
        </w:numPr>
      </w:pPr>
      <w:r>
        <w:t>Collaborat</w:t>
      </w:r>
      <w:r w:rsidR="007E04CC">
        <w:t>ing</w:t>
      </w:r>
      <w:r w:rsidR="009231AD" w:rsidRPr="00DE5587">
        <w:t xml:space="preserve"> with the University of Minnesota to host a post-secondary assistive technology workshop in the spring of 2024. This will be for aspiring and current college students to learn about assistive technology skills needed for success in higher education.  </w:t>
      </w:r>
    </w:p>
    <w:p w14:paraId="081701DD" w14:textId="77777777" w:rsidR="009231AD" w:rsidRPr="00DE5587" w:rsidRDefault="009231AD" w:rsidP="009231AD">
      <w:r w:rsidRPr="00DE5587">
        <w:t> </w:t>
      </w:r>
    </w:p>
    <w:p w14:paraId="75AF3A39" w14:textId="3F70DE00" w:rsidR="009231AD" w:rsidRPr="00DE5587" w:rsidRDefault="009231AD" w:rsidP="009231AD">
      <w:r w:rsidRPr="00DE5587">
        <w:lastRenderedPageBreak/>
        <w:t xml:space="preserve">Another challenge </w:t>
      </w:r>
      <w:r>
        <w:t>is</w:t>
      </w:r>
      <w:r w:rsidRPr="00DE5587">
        <w:t xml:space="preserve"> spending the 15% set aside. SSB continues to identify, develop, and implement creative effective approaches to spending this money. </w:t>
      </w:r>
      <w:r>
        <w:t xml:space="preserve">Despite the development of some </w:t>
      </w:r>
      <w:r w:rsidRPr="00DE5587">
        <w:t>very innovative programs</w:t>
      </w:r>
      <w:r>
        <w:t>,</w:t>
      </w:r>
      <w:r w:rsidRPr="00DE5587">
        <w:t xml:space="preserve"> it is a struggle to spend all the dollar</w:t>
      </w:r>
      <w:r>
        <w:t>s due to</w:t>
      </w:r>
      <w:r w:rsidRPr="00177C89">
        <w:t xml:space="preserve"> </w:t>
      </w:r>
      <w:r w:rsidRPr="00DE5587">
        <w:t>the relatively small number of Pre-ETS students. </w:t>
      </w:r>
      <w:r w:rsidR="00AE2F71">
        <w:t xml:space="preserve">While each year, we have successfully met </w:t>
      </w:r>
      <w:r w:rsidR="00D223EB">
        <w:t xml:space="preserve">(and somewhat exceeded) </w:t>
      </w:r>
      <w:r w:rsidR="00AE2F71">
        <w:t xml:space="preserve">our 15% requirement both as an agency and a state, </w:t>
      </w:r>
      <w:r w:rsidR="00D223EB">
        <w:t>we know we have to continue to monitor our budget carefully to ensure we continue to meet the requirement.</w:t>
      </w:r>
    </w:p>
    <w:p w14:paraId="5E598CB9" w14:textId="77777777" w:rsidR="009231AD" w:rsidRPr="00DE5587" w:rsidRDefault="009231AD" w:rsidP="009231AD">
      <w:r w:rsidRPr="00DE5587">
        <w:t> </w:t>
      </w:r>
    </w:p>
    <w:p w14:paraId="2C788454" w14:textId="3FB18F7D" w:rsidR="009231AD" w:rsidRPr="00DE5587" w:rsidRDefault="009231AD" w:rsidP="009231AD">
      <w:r w:rsidRPr="00DE5587">
        <w:t xml:space="preserve">To accurately outline and address solutions for the concerns highlighted above, SSB continues to develop a yearly </w:t>
      </w:r>
      <w:r w:rsidR="001E16D8">
        <w:t>Pre-ETS</w:t>
      </w:r>
      <w:r w:rsidRPr="00DE5587">
        <w:t xml:space="preserve"> Blueprint using the framework put into place by WIOA. The Pre-ETS Blueprint outlines SSB’s plans to address the five required activities and nine authorized activities as</w:t>
      </w:r>
      <w:r w:rsidR="00562D12">
        <w:t xml:space="preserve"> </w:t>
      </w:r>
      <w:r w:rsidR="00732096">
        <w:t>mandated</w:t>
      </w:r>
      <w:r w:rsidR="002173EB">
        <w:t xml:space="preserve"> </w:t>
      </w:r>
      <w:r w:rsidRPr="00DE5587">
        <w:t>by WIOA.</w:t>
      </w:r>
      <w:r w:rsidR="001E16D8">
        <w:t xml:space="preserve"> It outlines our set-aside forecasting formula, which allows for us to </w:t>
      </w:r>
      <w:r w:rsidR="00156942">
        <w:t xml:space="preserve">offer authorized </w:t>
      </w:r>
      <w:r w:rsidR="002173EB">
        <w:t xml:space="preserve">activities </w:t>
      </w:r>
      <w:r w:rsidR="00156942">
        <w:t xml:space="preserve">in addition to </w:t>
      </w:r>
      <w:r w:rsidR="00E318FC">
        <w:t xml:space="preserve">those </w:t>
      </w:r>
      <w:r w:rsidR="00156942">
        <w:t xml:space="preserve">required. </w:t>
      </w:r>
    </w:p>
    <w:p w14:paraId="26794C4E" w14:textId="77777777" w:rsidR="009231AD" w:rsidRPr="00DE5587" w:rsidRDefault="009231AD" w:rsidP="009231AD">
      <w:r w:rsidRPr="00DE5587">
        <w:t>  </w:t>
      </w:r>
    </w:p>
    <w:p w14:paraId="1671123F" w14:textId="6B2BE9E0" w:rsidR="009231AD" w:rsidRPr="00DE5587" w:rsidRDefault="009231AD" w:rsidP="009231AD">
      <w:r w:rsidRPr="00DE5587">
        <w:t xml:space="preserve">The third gap in services </w:t>
      </w:r>
      <w:r w:rsidR="00B84D38">
        <w:t>relates to</w:t>
      </w:r>
      <w:r w:rsidRPr="00DE5587">
        <w:t xml:space="preserve"> students who have multiple challenges. Th</w:t>
      </w:r>
      <w:r>
        <w:t>e</w:t>
      </w:r>
      <w:r w:rsidRPr="00DE5587">
        <w:t>se students m</w:t>
      </w:r>
      <w:r>
        <w:t>ay</w:t>
      </w:r>
      <w:r w:rsidRPr="00DE5587">
        <w:t xml:space="preserve"> not initially be referred to SSB since their primary disability m</w:t>
      </w:r>
      <w:r>
        <w:t>ay</w:t>
      </w:r>
      <w:r w:rsidRPr="00DE5587">
        <w:t xml:space="preserve"> create more barriers than vision loss. Once they are connected with SSB, the programs might not fit their individual needs. Because our expertise is </w:t>
      </w:r>
      <w:r w:rsidR="00B84D38" w:rsidRPr="00DE5587">
        <w:t>in</w:t>
      </w:r>
      <w:r w:rsidRPr="00DE5587">
        <w:t xml:space="preserve"> blindness rather than other disabilities, we need to seek partners who can augment the programs with support for those students.  </w:t>
      </w:r>
    </w:p>
    <w:p w14:paraId="0AD5C06C" w14:textId="77777777" w:rsidR="009231AD" w:rsidRPr="00DE5587" w:rsidRDefault="009231AD" w:rsidP="009231AD">
      <w:r w:rsidRPr="00DE5587">
        <w:t> </w:t>
      </w:r>
    </w:p>
    <w:p w14:paraId="5201CC8B" w14:textId="1A60F035" w:rsidR="009231AD" w:rsidRDefault="009231AD" w:rsidP="009231AD">
      <w:r w:rsidRPr="00412C51">
        <w:t>SSB is involved in the E1MN partnership that was launched on July 1</w:t>
      </w:r>
      <w:r w:rsidRPr="00412C51">
        <w:rPr>
          <w:vertAlign w:val="superscript"/>
        </w:rPr>
        <w:t>st</w:t>
      </w:r>
      <w:r w:rsidRPr="00412C51">
        <w:t>, 2021. E1MN is Minnesota’s state partnership dedicated to advancing employment-first outcomes for youth and adults with disabilities. This partnership evolved from Minnesota’s Employment First policy adopted by the Olmstead Su</w:t>
      </w:r>
      <w:r w:rsidR="00603C95">
        <w:t>b</w:t>
      </w:r>
      <w:r w:rsidRPr="00412C51">
        <w:t>cabinet in 2014.  E1MN is led by the State of Minnesota Departments of Education (MDE)</w:t>
      </w:r>
      <w:r>
        <w:t xml:space="preserve"> Career and Technical Education</w:t>
      </w:r>
      <w:r w:rsidR="00002E64">
        <w:t>,</w:t>
      </w:r>
      <w:r>
        <w:t xml:space="preserve"> and Special Education Unit</w:t>
      </w:r>
      <w:r w:rsidRPr="00412C51">
        <w:t>, Employment and Economic Development (DEED)</w:t>
      </w:r>
      <w:r>
        <w:t xml:space="preserve"> Vocational Rehabilitation Services (VRS) and State Services for the Blind (SSB) </w:t>
      </w:r>
      <w:r w:rsidR="00603C95">
        <w:t>Divisions</w:t>
      </w:r>
      <w:r>
        <w:t>,</w:t>
      </w:r>
      <w:r w:rsidRPr="00412C51">
        <w:t xml:space="preserve"> and Human Services (DHS)</w:t>
      </w:r>
      <w:r>
        <w:t xml:space="preserve"> Disability Services Division</w:t>
      </w:r>
      <w:r w:rsidR="000978BF">
        <w:t xml:space="preserve"> (DSD)</w:t>
      </w:r>
      <w:r w:rsidRPr="00412C51">
        <w:t>.</w:t>
      </w:r>
      <w:r>
        <w:t xml:space="preserve"> SSB serves a very small number of customers through this partnership compared </w:t>
      </w:r>
      <w:r w:rsidR="00603C95">
        <w:t xml:space="preserve">to </w:t>
      </w:r>
      <w:r>
        <w:t xml:space="preserve">VRS due to the low incidence </w:t>
      </w:r>
      <w:r w:rsidR="000978BF">
        <w:t xml:space="preserve">of </w:t>
      </w:r>
      <w:r>
        <w:t>blindness</w:t>
      </w:r>
      <w:r w:rsidR="00732978">
        <w:t>,</w:t>
      </w:r>
      <w:r>
        <w:t xml:space="preserve"> or blindness not being the primary disability. </w:t>
      </w:r>
      <w:r w:rsidRPr="00412C51">
        <w:t> </w:t>
      </w:r>
    </w:p>
    <w:p w14:paraId="69FF3F27" w14:textId="77777777" w:rsidR="00C30A58" w:rsidRPr="00412C51" w:rsidRDefault="00C30A58" w:rsidP="009231AD"/>
    <w:p w14:paraId="2A10CC49" w14:textId="043CD7FD" w:rsidR="009231AD" w:rsidRPr="00DF32DD" w:rsidRDefault="009231AD" w:rsidP="009231AD">
      <w:r w:rsidRPr="00412C51">
        <w:t>DEED entered into a Memorandum of Understanding with DHS</w:t>
      </w:r>
      <w:r w:rsidR="003B7CD4">
        <w:t>,</w:t>
      </w:r>
      <w:r w:rsidR="00426FDA">
        <w:t xml:space="preserve"> </w:t>
      </w:r>
      <w:r w:rsidR="007E03F0">
        <w:t>DSD</w:t>
      </w:r>
      <w:r w:rsidRPr="00412C51">
        <w:t xml:space="preserve"> on July 1, 2021, and continues to be involved in interagency work for the E1MN partnership to ensure individuals receiving Medicaid waiver services and vocational rehabilitation services have seamless employment service delivery to achieve competitive integrated employment. MDE is also present for this work focusing on transition students to develop education and training, as well as resources for students and</w:t>
      </w:r>
      <w:r w:rsidR="00991369" w:rsidRPr="00991369">
        <w:t xml:space="preserve"> </w:t>
      </w:r>
      <w:r w:rsidRPr="00DF32DD">
        <w:t xml:space="preserve">their families, vocational rehabilitation staff, schools and educators, and team members at DHS supporting students with disabilities preparing </w:t>
      </w:r>
      <w:r w:rsidR="00BA0754" w:rsidRPr="00DF32DD">
        <w:t>for</w:t>
      </w:r>
      <w:r w:rsidR="00BA0754">
        <w:t xml:space="preserve"> and</w:t>
      </w:r>
      <w:r w:rsidRPr="00DF32DD">
        <w:t xml:space="preserve"> entering employment.  </w:t>
      </w:r>
    </w:p>
    <w:p w14:paraId="6179D38D" w14:textId="77777777" w:rsidR="009231AD" w:rsidRPr="00DF32DD" w:rsidRDefault="009231AD" w:rsidP="009231AD">
      <w:r w:rsidRPr="00DF32DD">
        <w:t> </w:t>
      </w:r>
    </w:p>
    <w:p w14:paraId="19B5A98F" w14:textId="3AF19F89" w:rsidR="009231AD" w:rsidRPr="00DF32DD" w:rsidRDefault="009231AD" w:rsidP="009231AD">
      <w:r w:rsidRPr="00DF32DD">
        <w:t>SSB</w:t>
      </w:r>
      <w:r w:rsidR="001E3FA3">
        <w:t>’s</w:t>
      </w:r>
      <w:r w:rsidRPr="00DF32DD">
        <w:t xml:space="preserve"> </w:t>
      </w:r>
      <w:r w:rsidR="001E3FA3">
        <w:t xml:space="preserve">new </w:t>
      </w:r>
      <w:r w:rsidRPr="00DF32DD">
        <w:t xml:space="preserve">Multiple Systems and Pathways Navigator position </w:t>
      </w:r>
      <w:r w:rsidR="001E3FA3">
        <w:t xml:space="preserve">will be </w:t>
      </w:r>
      <w:r w:rsidRPr="00DF32DD">
        <w:t xml:space="preserve">dedicated to working with students </w:t>
      </w:r>
      <w:r>
        <w:t xml:space="preserve">with multiple and/or complex </w:t>
      </w:r>
      <w:r w:rsidR="002830B7">
        <w:t>needs</w:t>
      </w:r>
      <w:r w:rsidRPr="00DF32DD">
        <w:t xml:space="preserve">. This </w:t>
      </w:r>
      <w:r>
        <w:t>position</w:t>
      </w:r>
      <w:r w:rsidRPr="00DF32DD">
        <w:t xml:space="preserve"> </w:t>
      </w:r>
      <w:r>
        <w:t>will</w:t>
      </w:r>
      <w:r w:rsidRPr="00DF32DD">
        <w:t xml:space="preserve"> assist with the coordination </w:t>
      </w:r>
      <w:r>
        <w:t xml:space="preserve">of </w:t>
      </w:r>
      <w:r w:rsidR="006054FE" w:rsidRPr="00DF32DD">
        <w:t>various</w:t>
      </w:r>
      <w:r w:rsidRPr="00DF32DD">
        <w:t xml:space="preserve"> agencies </w:t>
      </w:r>
      <w:r w:rsidR="001A7739">
        <w:t>and</w:t>
      </w:r>
      <w:r w:rsidR="001A7739" w:rsidRPr="00DF32DD">
        <w:t xml:space="preserve"> </w:t>
      </w:r>
      <w:r w:rsidRPr="00DF32DD">
        <w:t xml:space="preserve">systems these students can utilize to achieve their employment, independent living, </w:t>
      </w:r>
      <w:r>
        <w:t xml:space="preserve">and </w:t>
      </w:r>
      <w:r w:rsidRPr="00DF32DD">
        <w:t>recreational and leisure goals. Work in this area will ensure SSB follows Minnesota’s Employment First policy and is grounded in person-centered principles. This policy is included in Minnesota’s Olmstead Plan and envisions a future where all people with disabilities can achieve competitive integrated employment.  </w:t>
      </w:r>
    </w:p>
    <w:p w14:paraId="6936848D" w14:textId="77777777" w:rsidR="009231AD" w:rsidRPr="00DE5587" w:rsidRDefault="009231AD" w:rsidP="009231AD">
      <w:r w:rsidRPr="00DE5587">
        <w:t> </w:t>
      </w:r>
    </w:p>
    <w:p w14:paraId="59EF3038" w14:textId="77777777" w:rsidR="000023EE" w:rsidRDefault="009231AD" w:rsidP="001D7B14">
      <w:pPr>
        <w:spacing w:after="120"/>
      </w:pPr>
      <w:r w:rsidRPr="00DE5587">
        <w:t>In summary, there are three</w:t>
      </w:r>
      <w:r>
        <w:t xml:space="preserve"> identified </w:t>
      </w:r>
      <w:r w:rsidRPr="00DE5587">
        <w:t>gaps related to students and youth with disabilities. They are</w:t>
      </w:r>
      <w:r w:rsidR="00EB1D87">
        <w:t>:</w:t>
      </w:r>
    </w:p>
    <w:p w14:paraId="64B5CE2D" w14:textId="5003AAFA" w:rsidR="005442FB" w:rsidRDefault="005442FB" w:rsidP="000023EE">
      <w:pPr>
        <w:pStyle w:val="ListParagraph"/>
        <w:numPr>
          <w:ilvl w:val="0"/>
          <w:numId w:val="76"/>
        </w:numPr>
        <w:spacing w:after="360"/>
      </w:pPr>
      <w:r>
        <w:t>S</w:t>
      </w:r>
      <w:r w:rsidRPr="00DE5587">
        <w:t>tudents</w:t>
      </w:r>
      <w:r>
        <w:t xml:space="preserve"> </w:t>
      </w:r>
      <w:r w:rsidR="009231AD">
        <w:t>being unprepared for post-secondary training</w:t>
      </w:r>
      <w:r w:rsidR="009231AD" w:rsidRPr="00DE5587">
        <w:t xml:space="preserve"> </w:t>
      </w:r>
    </w:p>
    <w:p w14:paraId="087AAF9C" w14:textId="4FEF433E" w:rsidR="005442FB" w:rsidRDefault="005442FB" w:rsidP="000023EE">
      <w:pPr>
        <w:pStyle w:val="ListParagraph"/>
        <w:numPr>
          <w:ilvl w:val="0"/>
          <w:numId w:val="76"/>
        </w:numPr>
        <w:spacing w:after="360"/>
      </w:pPr>
      <w:r>
        <w:t>D</w:t>
      </w:r>
      <w:r w:rsidRPr="00DE5587">
        <w:t xml:space="preserve">ealing </w:t>
      </w:r>
      <w:r w:rsidR="009231AD" w:rsidRPr="00DE5587">
        <w:t>with the challenges of allocating and effectively spending 15% of federal dollars</w:t>
      </w:r>
    </w:p>
    <w:p w14:paraId="51718B35" w14:textId="1E5AC146" w:rsidR="005442FB" w:rsidRDefault="009231AD" w:rsidP="00DE07D4">
      <w:pPr>
        <w:pStyle w:val="ListParagraph"/>
        <w:numPr>
          <w:ilvl w:val="0"/>
          <w:numId w:val="76"/>
        </w:numPr>
        <w:tabs>
          <w:tab w:val="left" w:pos="720"/>
        </w:tabs>
        <w:spacing w:after="360"/>
      </w:pPr>
      <w:r w:rsidRPr="00DE5587">
        <w:t xml:space="preserve"> </w:t>
      </w:r>
      <w:r w:rsidR="005442FB">
        <w:t>B</w:t>
      </w:r>
      <w:r w:rsidR="005442FB" w:rsidRPr="00DE5587">
        <w:t xml:space="preserve">etter </w:t>
      </w:r>
      <w:r w:rsidRPr="00DE5587">
        <w:t>serving students with multiple challenges</w:t>
      </w:r>
    </w:p>
    <w:p w14:paraId="6B87F880" w14:textId="522155D0" w:rsidR="009231AD" w:rsidRPr="00DE5587" w:rsidRDefault="009231AD" w:rsidP="00DE07D4">
      <w:pPr>
        <w:spacing w:after="360"/>
        <w:ind w:left="45"/>
      </w:pPr>
      <w:r w:rsidRPr="00DE5587">
        <w:t xml:space="preserve"> </w:t>
      </w:r>
      <w:r>
        <w:t xml:space="preserve">Additionally, we face challenges from a lack of community partners to provide services, especially in greater </w:t>
      </w:r>
      <w:r w:rsidR="00993F56">
        <w:t>Minnesota</w:t>
      </w:r>
      <w:r>
        <w:t xml:space="preserve">.  Our state contracting requirements make it difficult to bring in programs that would contribute to spending our 15% set aside and promote new community providers </w:t>
      </w:r>
      <w:r w:rsidR="001C4B1F">
        <w:t xml:space="preserve">who </w:t>
      </w:r>
      <w:r>
        <w:t xml:space="preserve">desire contracting with us, potentially </w:t>
      </w:r>
      <w:r w:rsidR="000C7E27">
        <w:t>outside the Twin Cities</w:t>
      </w:r>
      <w:r>
        <w:t xml:space="preserve">.  </w:t>
      </w:r>
      <w:r w:rsidRPr="00DE5587">
        <w:t xml:space="preserve">Minnesota State Services for the Blind is already aware of these gaps and </w:t>
      </w:r>
      <w:r w:rsidR="007F5BE8">
        <w:t xml:space="preserve">is </w:t>
      </w:r>
      <w:r w:rsidRPr="00DE5587">
        <w:t xml:space="preserve">working on addressing them. We </w:t>
      </w:r>
      <w:r w:rsidR="002C12C5">
        <w:t>are striving</w:t>
      </w:r>
      <w:r w:rsidRPr="00DE5587">
        <w:t xml:space="preserve"> to gain a better understanding of these efforts in the next cycle of this process.  </w:t>
      </w:r>
    </w:p>
    <w:p w14:paraId="2B126A18" w14:textId="33DC2167" w:rsidR="007F4178" w:rsidRPr="006C6124" w:rsidRDefault="009231AD" w:rsidP="333B87A2">
      <w:pPr>
        <w:spacing w:before="240" w:after="360"/>
        <w:contextualSpacing/>
      </w:pPr>
      <w:r w:rsidRPr="00DE5587">
        <w:t> </w:t>
      </w:r>
    </w:p>
    <w:p w14:paraId="33BFCF8B" w14:textId="77777777" w:rsidR="00D0706C" w:rsidRPr="006C6124" w:rsidRDefault="00D0706C">
      <w:pPr>
        <w:numPr>
          <w:ilvl w:val="0"/>
          <w:numId w:val="14"/>
        </w:numPr>
        <w:spacing w:before="240" w:after="5" w:line="250" w:lineRule="auto"/>
        <w:ind w:right="51"/>
        <w:contextualSpacing/>
        <w:outlineLvl w:val="0"/>
        <w:rPr>
          <w:rFonts w:ascii="Calibri" w:eastAsiaTheme="minorEastAsia" w:hAnsi="Calibri" w:cs="Calibri"/>
        </w:rPr>
      </w:pPr>
      <w:r w:rsidRPr="006C6124">
        <w:rPr>
          <w:rFonts w:ascii="Calibri" w:eastAsiaTheme="minorEastAsia" w:hAnsi="Calibri" w:cs="Calibri"/>
        </w:rPr>
        <w:t>Identify the need to establish, develop, or improve community rehabilitation programs within the State.</w:t>
      </w:r>
    </w:p>
    <w:p w14:paraId="71646DAA" w14:textId="77777777" w:rsidR="00020F8A" w:rsidRDefault="00020F8A" w:rsidP="00020F8A">
      <w:pPr>
        <w:pStyle w:val="ListParagraph"/>
        <w:ind w:left="360"/>
      </w:pPr>
    </w:p>
    <w:p w14:paraId="3743DCAB" w14:textId="6DA2E784" w:rsidR="00B55822" w:rsidRDefault="00B55822" w:rsidP="00020F8A">
      <w:pPr>
        <w:pStyle w:val="ListParagraph"/>
        <w:ind w:left="360"/>
      </w:pPr>
      <w:r>
        <w:t xml:space="preserve">State Services for the Blind operates as the </w:t>
      </w:r>
      <w:r w:rsidR="00975DE6">
        <w:t>D</w:t>
      </w:r>
      <w:r>
        <w:t xml:space="preserve">esignated State </w:t>
      </w:r>
      <w:r w:rsidR="00975DE6">
        <w:t>U</w:t>
      </w:r>
      <w:r>
        <w:t>nit in Minnesota</w:t>
      </w:r>
      <w:r w:rsidR="00975DE6">
        <w:t>, with the Department of Employment and Economic Development as the Designated State Agency.</w:t>
      </w:r>
      <w:r>
        <w:t xml:space="preserve"> Due to circumstances within the State and consistent with the requirements of 34 CFR 361.29(a)(1)(ii), SSB</w:t>
      </w:r>
      <w:r w:rsidRPr="00B55822">
        <w:rPr>
          <w:b/>
          <w:bCs/>
        </w:rPr>
        <w:t xml:space="preserve"> </w:t>
      </w:r>
      <w:r>
        <w:t>has determined it necessary to engage in activities to establish, develop, or improve facilities for community rehabilitation programs (CRPs) (hereinafter “establishment projects</w:t>
      </w:r>
      <w:r w:rsidR="10D011F7">
        <w:t>”</w:t>
      </w:r>
      <w:r>
        <w:t xml:space="preserve">) in the State for the purpose of providing vocational rehabilitation (VR) services to applicants and eligible individuals, as well as pre-employment transition services </w:t>
      </w:r>
      <w:r w:rsidR="51C93AA5">
        <w:t>(Pre-ETS)</w:t>
      </w:r>
      <w:r>
        <w:t xml:space="preserve"> to students with disabilities who are eligible or potentially eligible for the VR program.  In assessing the need for establishment projects in the State, SSB</w:t>
      </w:r>
      <w:r w:rsidRPr="2BDD66AF">
        <w:rPr>
          <w:b/>
        </w:rPr>
        <w:t xml:space="preserve"> </w:t>
      </w:r>
      <w:r>
        <w:t>has determined it may be necessary to incur capital expenditures to acquire equipment or improve the field offices of SSB, which satisfy the definition of a CRP at 34 CFR 361.5(c)(8)</w:t>
      </w:r>
      <w:r w:rsidR="004523DB">
        <w:t>.</w:t>
      </w:r>
      <w:r>
        <w:t xml:space="preserve"> </w:t>
      </w:r>
      <w:r w:rsidR="0046006E">
        <w:t>These expenditures will</w:t>
      </w:r>
      <w:r>
        <w:t xml:space="preserve"> ensure the continuity of quality service delivery to individuals with disabilities seeking to receive services under the VR program.  The State assures it will submit requests for prior written approval to RSA for those costs that exceed the capital expenditure threshold applicable to the State, or for any capital improvements necessary to ready the space for its intended use under the VR program, consistent with requirements set forth in 2 CFR part 200.</w:t>
      </w:r>
    </w:p>
    <w:p w14:paraId="21D351BB" w14:textId="77777777" w:rsidR="00D0706C" w:rsidRPr="006C6124" w:rsidRDefault="00D0706C" w:rsidP="00D0706C">
      <w:pPr>
        <w:ind w:left="360"/>
        <w:rPr>
          <w:rFonts w:ascii="Calibri" w:eastAsiaTheme="minorEastAsia" w:hAnsi="Calibri" w:cs="Calibri"/>
        </w:rPr>
      </w:pPr>
    </w:p>
    <w:p w14:paraId="4014D8A8" w14:textId="601621D2" w:rsidR="00204D3A" w:rsidRDefault="00566AE5" w:rsidP="5F11BA00">
      <w:pPr>
        <w:spacing w:line="259" w:lineRule="auto"/>
        <w:ind w:left="360"/>
      </w:pPr>
      <w:r>
        <w:t xml:space="preserve">The availability of </w:t>
      </w:r>
      <w:r w:rsidR="00A167BC">
        <w:t>community partners (</w:t>
      </w:r>
      <w:r w:rsidR="00995FFC">
        <w:t>the</w:t>
      </w:r>
      <w:r w:rsidR="00A167BC">
        <w:t xml:space="preserve"> term </w:t>
      </w:r>
      <w:r w:rsidR="00995FFC">
        <w:t>used by Vocational Rehabilitation Services and State Services for the Blind in replace of</w:t>
      </w:r>
      <w:r w:rsidR="00A167BC">
        <w:t xml:space="preserve"> </w:t>
      </w:r>
      <w:r w:rsidR="00995FFC">
        <w:t>“</w:t>
      </w:r>
      <w:r w:rsidR="1FB8A409">
        <w:t>vendors</w:t>
      </w:r>
      <w:r w:rsidR="00995FFC">
        <w:t>”</w:t>
      </w:r>
      <w:r w:rsidR="00A167BC">
        <w:t>)</w:t>
      </w:r>
      <w:r>
        <w:t xml:space="preserve"> varies by service and location within the state. There are currently </w:t>
      </w:r>
      <w:r w:rsidR="00020F8A">
        <w:t>over 30</w:t>
      </w:r>
      <w:r>
        <w:t xml:space="preserve"> total </w:t>
      </w:r>
      <w:r w:rsidR="004A34E1">
        <w:t xml:space="preserve">community partners </w:t>
      </w:r>
      <w:r>
        <w:t>that SSB contracts with t</w:t>
      </w:r>
      <w:r w:rsidR="00F55EC1">
        <w:t>hat</w:t>
      </w:r>
      <w:r>
        <w:t xml:space="preserve"> provide Adjustment To Blindness (ATB) and </w:t>
      </w:r>
      <w:r w:rsidR="24505278">
        <w:t>Employment</w:t>
      </w:r>
      <w:r>
        <w:t xml:space="preserve">-Related services. </w:t>
      </w:r>
      <w:r w:rsidR="005C5735">
        <w:t xml:space="preserve">For </w:t>
      </w:r>
      <w:r w:rsidR="007720F3">
        <w:t xml:space="preserve">twenty plus years, Minnesota has </w:t>
      </w:r>
      <w:r w:rsidR="007720F3" w:rsidRPr="00BA05B4">
        <w:t>had t</w:t>
      </w:r>
      <w:r w:rsidRPr="00BA05B4">
        <w:t>hree facilities</w:t>
      </w:r>
      <w:r>
        <w:t xml:space="preserve"> that offer comprehensive ATB training with an optional residential component</w:t>
      </w:r>
      <w:r w:rsidR="48B9C1E8">
        <w:t>; for purposes of this document, we refer to them as “community rehabilitation programs”.</w:t>
      </w:r>
      <w:r w:rsidR="00B87705">
        <w:t xml:space="preserve"> </w:t>
      </w:r>
      <w:r w:rsidR="00A54FD3">
        <w:t xml:space="preserve">In January 2024, </w:t>
      </w:r>
      <w:r w:rsidR="00AD22B2">
        <w:t>one of th</w:t>
      </w:r>
      <w:r w:rsidR="006A2C99">
        <w:t>o</w:t>
      </w:r>
      <w:r w:rsidR="00AD22B2">
        <w:t xml:space="preserve">se </w:t>
      </w:r>
      <w:r w:rsidR="006E7CC2">
        <w:t xml:space="preserve">comprehensive </w:t>
      </w:r>
      <w:r w:rsidR="00D84C7E">
        <w:t xml:space="preserve">ATB facilities </w:t>
      </w:r>
      <w:r w:rsidR="00C91391">
        <w:t xml:space="preserve">closed its doors </w:t>
      </w:r>
      <w:r w:rsidR="005E0A95">
        <w:t xml:space="preserve">for an </w:t>
      </w:r>
      <w:r w:rsidR="00C26BCE">
        <w:t>undetermined</w:t>
      </w:r>
      <w:r w:rsidR="005E0A95">
        <w:t xml:space="preserve"> amount of time </w:t>
      </w:r>
      <w:r w:rsidR="0075440A">
        <w:t>during a reorganization</w:t>
      </w:r>
      <w:r w:rsidR="00D45017">
        <w:t xml:space="preserve"> </w:t>
      </w:r>
      <w:r w:rsidR="00C91391">
        <w:t xml:space="preserve">and </w:t>
      </w:r>
      <w:r w:rsidR="007E0999">
        <w:t xml:space="preserve">another has </w:t>
      </w:r>
      <w:r w:rsidR="000B5224">
        <w:t>discontinued the</w:t>
      </w:r>
      <w:r w:rsidR="006E7CC2">
        <w:t>ir</w:t>
      </w:r>
      <w:r w:rsidR="000B5224">
        <w:t xml:space="preserve"> residential component. </w:t>
      </w:r>
      <w:r w:rsidR="00D84C7E">
        <w:t xml:space="preserve"> </w:t>
      </w:r>
    </w:p>
    <w:p w14:paraId="3611526F" w14:textId="77777777" w:rsidR="00204D3A" w:rsidRDefault="00204D3A" w:rsidP="5F11BA00">
      <w:pPr>
        <w:spacing w:line="259" w:lineRule="auto"/>
        <w:ind w:left="360"/>
      </w:pPr>
    </w:p>
    <w:p w14:paraId="21C6572B" w14:textId="39F6B960" w:rsidR="00540CFF" w:rsidRDefault="00566AE5" w:rsidP="5F11BA00">
      <w:pPr>
        <w:spacing w:line="259" w:lineRule="auto"/>
        <w:ind w:left="360"/>
      </w:pPr>
      <w:r>
        <w:t xml:space="preserve">State Rule allows SSB to utilize the </w:t>
      </w:r>
      <w:r w:rsidR="00204D3A">
        <w:t>m</w:t>
      </w:r>
      <w:r>
        <w:t xml:space="preserve">aster </w:t>
      </w:r>
      <w:r w:rsidR="00204D3A">
        <w:t>c</w:t>
      </w:r>
      <w:r>
        <w:t xml:space="preserve">ontracts Vocational Rehabilitation Services (VRS) have developed with </w:t>
      </w:r>
      <w:r w:rsidR="00306194">
        <w:t xml:space="preserve">community partners </w:t>
      </w:r>
      <w:r>
        <w:t xml:space="preserve">as well. This allows SSB </w:t>
      </w:r>
      <w:r w:rsidR="00204D3A">
        <w:t>customers</w:t>
      </w:r>
      <w:r>
        <w:t xml:space="preserve"> more </w:t>
      </w:r>
      <w:r w:rsidR="00204D3A">
        <w:t>service providers</w:t>
      </w:r>
      <w:r w:rsidR="00306194">
        <w:t xml:space="preserve"> </w:t>
      </w:r>
      <w:r>
        <w:t>to choose from</w:t>
      </w:r>
      <w:r w:rsidR="00306194">
        <w:t>,</w:t>
      </w:r>
      <w:r>
        <w:t xml:space="preserve"> which is especially needed in greater Minnesota</w:t>
      </w:r>
      <w:r w:rsidR="003A5586">
        <w:t>,</w:t>
      </w:r>
      <w:r>
        <w:t xml:space="preserve"> where </w:t>
      </w:r>
      <w:r w:rsidR="00306194">
        <w:t>there are</w:t>
      </w:r>
      <w:r>
        <w:t xml:space="preserve"> fewer </w:t>
      </w:r>
      <w:r w:rsidR="00306194">
        <w:t>choices</w:t>
      </w:r>
      <w:r>
        <w:t xml:space="preserve">. ATB </w:t>
      </w:r>
      <w:r w:rsidR="005E1F2A">
        <w:t xml:space="preserve">community partners </w:t>
      </w:r>
      <w:r>
        <w:t>in rural Minnesota are becoming more difficult to access</w:t>
      </w:r>
      <w:r w:rsidR="005E1F2A">
        <w:t>; providers</w:t>
      </w:r>
      <w:r>
        <w:t xml:space="preserve"> </w:t>
      </w:r>
      <w:r w:rsidR="00CF01B9">
        <w:t xml:space="preserve">have retired or </w:t>
      </w:r>
      <w:r w:rsidR="00874947">
        <w:t>otherwise left the industry</w:t>
      </w:r>
      <w:r>
        <w:t>,</w:t>
      </w:r>
      <w:r w:rsidR="00874947">
        <w:t xml:space="preserve"> or they</w:t>
      </w:r>
      <w:r w:rsidR="00CF01B9">
        <w:t xml:space="preserve"> have</w:t>
      </w:r>
      <w:r>
        <w:t xml:space="preserve"> limited </w:t>
      </w:r>
      <w:r w:rsidR="00CF01B9">
        <w:t>flexibility with scheduling during non-business hours</w:t>
      </w:r>
      <w:r w:rsidR="00874947">
        <w:t>.</w:t>
      </w:r>
      <w:r>
        <w:t xml:space="preserve"> </w:t>
      </w:r>
    </w:p>
    <w:p w14:paraId="16B433F1" w14:textId="77777777" w:rsidR="00540CFF" w:rsidRDefault="00540CFF" w:rsidP="5F11BA00">
      <w:pPr>
        <w:spacing w:line="259" w:lineRule="auto"/>
        <w:ind w:left="360"/>
      </w:pPr>
    </w:p>
    <w:p w14:paraId="778ACED1" w14:textId="5DE39338" w:rsidR="0019282B" w:rsidRDefault="00566AE5" w:rsidP="5F11BA00">
      <w:pPr>
        <w:spacing w:line="259" w:lineRule="auto"/>
        <w:ind w:left="360"/>
      </w:pPr>
      <w:r>
        <w:t xml:space="preserve">With the greater emphasis being placed on transition aged youth, the need for more transition programs has been identified. Contracts have been developed with </w:t>
      </w:r>
      <w:r w:rsidR="00FF2F94">
        <w:t>seven</w:t>
      </w:r>
      <w:r w:rsidR="00540CFF">
        <w:t xml:space="preserve"> community partners </w:t>
      </w:r>
      <w:r>
        <w:t xml:space="preserve">to provide </w:t>
      </w:r>
      <w:r w:rsidR="00540CFF">
        <w:t xml:space="preserve">Pre-ETS and </w:t>
      </w:r>
      <w:r>
        <w:t xml:space="preserve">transition programs to students. </w:t>
      </w:r>
      <w:r w:rsidR="00F4108A">
        <w:t xml:space="preserve">These services </w:t>
      </w:r>
      <w:r>
        <w:t>are meant to augment work done by school districts with activities on evenings</w:t>
      </w:r>
      <w:r w:rsidR="00A87F1A">
        <w:t xml:space="preserve">, </w:t>
      </w:r>
      <w:r>
        <w:t>weekends</w:t>
      </w:r>
      <w:r w:rsidR="00A87F1A">
        <w:t>, and summer</w:t>
      </w:r>
      <w:r w:rsidR="00214265">
        <w:t xml:space="preserve"> breaks</w:t>
      </w:r>
      <w:r>
        <w:t xml:space="preserve">. Since October 2015, SSB has contracted with two Adjustment </w:t>
      </w:r>
      <w:r w:rsidR="00D14829">
        <w:t>to</w:t>
      </w:r>
      <w:r>
        <w:t xml:space="preserve"> Blindness training centers to provide transition programs to students. Since October 2019, a third </w:t>
      </w:r>
      <w:r w:rsidR="00B03F83">
        <w:t>center</w:t>
      </w:r>
      <w:r>
        <w:t xml:space="preserve"> </w:t>
      </w:r>
      <w:r w:rsidR="004744AC">
        <w:t>began</w:t>
      </w:r>
      <w:r>
        <w:t xml:space="preserve"> offering </w:t>
      </w:r>
      <w:r w:rsidR="004744AC">
        <w:t>a modified version of</w:t>
      </w:r>
      <w:r>
        <w:t xml:space="preserve"> their full/part time comprehensive Adjustment </w:t>
      </w:r>
      <w:r w:rsidR="004744AC">
        <w:t>t</w:t>
      </w:r>
      <w:r>
        <w:t xml:space="preserve">o Blindness training program </w:t>
      </w:r>
      <w:r w:rsidR="004744AC">
        <w:t>to better serve students</w:t>
      </w:r>
      <w:r>
        <w:t xml:space="preserve">. </w:t>
      </w:r>
      <w:r w:rsidR="00E06589">
        <w:t xml:space="preserve"> With our most recent contracting cycle</w:t>
      </w:r>
      <w:r w:rsidR="00756ADF">
        <w:t>, which began July 1, 2022</w:t>
      </w:r>
      <w:r w:rsidR="00E06589">
        <w:t xml:space="preserve">, </w:t>
      </w:r>
      <w:r w:rsidR="0019282B">
        <w:t>we increased our outreach and trainings efforts to encourage all current and new community partners to include Pre-ETS and transition</w:t>
      </w:r>
      <w:r w:rsidR="00756ADF">
        <w:t>-related services as appropriate.</w:t>
      </w:r>
      <w:r w:rsidR="00944017">
        <w:t xml:space="preserve"> All contracted offerings are reviewed annually to ensure that they continue to meet the needs of the students and are adjusted accordingly.</w:t>
      </w:r>
    </w:p>
    <w:p w14:paraId="74544F18" w14:textId="0E312416" w:rsidR="00944017" w:rsidRDefault="00944017" w:rsidP="5F11BA00">
      <w:pPr>
        <w:spacing w:line="259" w:lineRule="auto"/>
        <w:ind w:left="360"/>
      </w:pPr>
    </w:p>
    <w:p w14:paraId="349433EC" w14:textId="5C1C1DA3" w:rsidR="00566AE5" w:rsidRDefault="00566AE5" w:rsidP="5F11BA00">
      <w:pPr>
        <w:spacing w:line="259" w:lineRule="auto"/>
        <w:ind w:left="360"/>
      </w:pPr>
      <w:r>
        <w:t xml:space="preserve">SSB is experiencing a reduction in the amount of Orientation and Mobility instructors available. We have had a couple retire and one leave us for employment in another state. Although we have an incoming contract, there is not enough potential new community partners to meet our needs. SSB will need to recruit new </w:t>
      </w:r>
      <w:r w:rsidR="001136CC">
        <w:t>qualif</w:t>
      </w:r>
      <w:r w:rsidR="00E41908">
        <w:t>ie</w:t>
      </w:r>
      <w:r w:rsidR="001136CC">
        <w:t>d O&amp;M instructors</w:t>
      </w:r>
      <w:r>
        <w:t xml:space="preserve"> and will be looking at ways to offer </w:t>
      </w:r>
      <w:r w:rsidRPr="00DC791F">
        <w:t xml:space="preserve">incentives. SSB has </w:t>
      </w:r>
      <w:r w:rsidR="001136CC">
        <w:t>also</w:t>
      </w:r>
      <w:r w:rsidRPr="00DC791F">
        <w:t xml:space="preserve"> been working to increase service providers that can provide services to our DeafBlind customers. We </w:t>
      </w:r>
      <w:r w:rsidR="00421AB2">
        <w:t>have recently</w:t>
      </w:r>
      <w:r w:rsidRPr="00DC791F">
        <w:t xml:space="preserve"> develop</w:t>
      </w:r>
      <w:r w:rsidR="00421AB2">
        <w:t>ed</w:t>
      </w:r>
      <w:r w:rsidRPr="00DC791F">
        <w:t xml:space="preserve"> a contract with the Helen Keller National Center for ATB and </w:t>
      </w:r>
      <w:r w:rsidR="00EA70C3">
        <w:t>Employment</w:t>
      </w:r>
      <w:r w:rsidRPr="00DC791F">
        <w:t>-Related services and are exploring the possibility of a</w:t>
      </w:r>
      <w:r w:rsidR="00D2416F">
        <w:t xml:space="preserve">n </w:t>
      </w:r>
      <w:r w:rsidR="00741EEC">
        <w:t>in-state</w:t>
      </w:r>
      <w:r w:rsidR="00D2416F">
        <w:t xml:space="preserve"> training center</w:t>
      </w:r>
      <w:r w:rsidR="00C548BC">
        <w:t xml:space="preserve">. </w:t>
      </w:r>
    </w:p>
    <w:p w14:paraId="2B6BCCB2" w14:textId="77777777" w:rsidR="00020F8A" w:rsidRDefault="00020F8A" w:rsidP="00566AE5"/>
    <w:p w14:paraId="3498A313" w14:textId="0B687E08" w:rsidR="00566AE5" w:rsidRDefault="00566AE5" w:rsidP="00DB6F57">
      <w:pPr>
        <w:ind w:left="360"/>
      </w:pPr>
      <w:r>
        <w:t xml:space="preserve">Due to an almost </w:t>
      </w:r>
      <w:r w:rsidR="00DB6F57">
        <w:t>25</w:t>
      </w:r>
      <w:r>
        <w:t xml:space="preserve">% decrease in adjustment to blindness service providers since COVID, </w:t>
      </w:r>
      <w:r w:rsidRPr="00A74B8C">
        <w:t xml:space="preserve">Minnesota Blind </w:t>
      </w:r>
      <w:r w:rsidR="000A52E5" w:rsidRPr="00A74B8C">
        <w:t>SSB</w:t>
      </w:r>
      <w:r w:rsidR="000A52E5">
        <w:t xml:space="preserve"> </w:t>
      </w:r>
      <w:r>
        <w:t xml:space="preserve">has been hiring their own in-house staff to provide some of those services. Specifically, we have hired two </w:t>
      </w:r>
      <w:r>
        <w:lastRenderedPageBreak/>
        <w:t xml:space="preserve">rehabilitation teachers, one for the VR program and one for the Older Blind program. Rehabilitation teachers provide training in all things related to independence in the home and community, including product identification, safe </w:t>
      </w:r>
      <w:r w:rsidR="00DF636A">
        <w:t>cooking,</w:t>
      </w:r>
      <w:r>
        <w:t xml:space="preserve"> and cleaning techniques, etc. </w:t>
      </w:r>
    </w:p>
    <w:p w14:paraId="479AE20C" w14:textId="77777777" w:rsidR="00DB6F57" w:rsidRDefault="00DB6F57" w:rsidP="00DB6F57">
      <w:pPr>
        <w:ind w:left="360"/>
      </w:pPr>
    </w:p>
    <w:p w14:paraId="5EB4EE89" w14:textId="7D3C9C6B" w:rsidR="00566AE5" w:rsidRDefault="00566AE5" w:rsidP="00DB6F57">
      <w:pPr>
        <w:ind w:left="360"/>
      </w:pPr>
      <w:r>
        <w:t>While our rehabilitation teachers do go into people’s homes, there is also a need to have our own rehabilitation teaching space at SSB, which would allow for a safe, neutral location and</w:t>
      </w:r>
      <w:r w:rsidR="00DF3772">
        <w:t xml:space="preserve"> conducting</w:t>
      </w:r>
      <w:r>
        <w:t xml:space="preserve"> group lessons. This space could also be used by our service providers for the same purpose. In the past, we could use space offered by community centers, churches, </w:t>
      </w:r>
      <w:r w:rsidR="75791B20">
        <w:t xml:space="preserve">libraries, </w:t>
      </w:r>
      <w:r>
        <w:t xml:space="preserve">etc. Since </w:t>
      </w:r>
      <w:r w:rsidR="3808ED21">
        <w:t xml:space="preserve">the advent of </w:t>
      </w:r>
      <w:r>
        <w:t>COVID</w:t>
      </w:r>
      <w:r w:rsidR="2A1C729F">
        <w:t>-19</w:t>
      </w:r>
      <w:r>
        <w:t xml:space="preserve">, most places </w:t>
      </w:r>
      <w:r w:rsidR="6A894E0E">
        <w:t>have become restrictive</w:t>
      </w:r>
      <w:r w:rsidR="004C53B3">
        <w:t xml:space="preserve"> </w:t>
      </w:r>
      <w:r w:rsidR="001A586D">
        <w:t>and</w:t>
      </w:r>
      <w:r w:rsidR="6A894E0E">
        <w:t xml:space="preserve"> limit the number of</w:t>
      </w:r>
      <w:r>
        <w:t xml:space="preserve"> additional people in their buildings. </w:t>
      </w:r>
    </w:p>
    <w:p w14:paraId="4DF12953" w14:textId="77777777" w:rsidR="00566AE5" w:rsidRDefault="00566AE5" w:rsidP="00566AE5"/>
    <w:p w14:paraId="5E2FE76B" w14:textId="2572648B" w:rsidR="00566AE5" w:rsidRDefault="00566AE5" w:rsidP="00DB6F57">
      <w:pPr>
        <w:ind w:left="360"/>
      </w:pPr>
      <w:r>
        <w:t>In addition, as a result of the pandemic, a large shift was made towards a hybrid service delivery model. This means offering services through a variety of methods, including virtual. Many of our meetings and trainings with customers, community partners, and council members are either virtual or a combination of virtual and in-person. Our current infrastructure at our 2200 University headquarters does not allow for accessible hybrid meetings, which means our customers and partners do not have as much flexibility in their ability to choose how they receive their services. This means we need to make improvements to our building to allow for flexibility in service delivery, including improving the technology in our conference rooms and making any further adjustments and improvements to the space. Our customer service survey results shows that customers are overwhelmingly satisfied with being able to receive hybrid and virtual services, as transportation is a huge barrier</w:t>
      </w:r>
      <w:r w:rsidR="0076529E">
        <w:t xml:space="preserve"> for them</w:t>
      </w:r>
      <w:r>
        <w:t xml:space="preserve">. </w:t>
      </w:r>
    </w:p>
    <w:p w14:paraId="09216BDA" w14:textId="77777777" w:rsidR="00566AE5" w:rsidRPr="006C6124" w:rsidRDefault="00566AE5" w:rsidP="00D0706C">
      <w:pPr>
        <w:ind w:left="360"/>
        <w:rPr>
          <w:rFonts w:ascii="Calibri" w:eastAsiaTheme="minorEastAsia" w:hAnsi="Calibri" w:cs="Calibri"/>
        </w:rPr>
      </w:pPr>
    </w:p>
    <w:p w14:paraId="42F3364B" w14:textId="004FC60D" w:rsidR="00D0706C" w:rsidRPr="006C6124" w:rsidRDefault="00D0706C" w:rsidP="00D0706C">
      <w:pPr>
        <w:tabs>
          <w:tab w:val="left" w:pos="1490"/>
        </w:tabs>
        <w:contextualSpacing/>
        <w:rPr>
          <w:rFonts w:ascii="Calibri" w:eastAsiaTheme="minorEastAsia" w:hAnsi="Calibri" w:cs="Calibri"/>
        </w:rPr>
      </w:pPr>
      <w:r w:rsidRPr="006C6124">
        <w:rPr>
          <w:rFonts w:ascii="Calibri" w:eastAsiaTheme="minorEastAsia" w:hAnsi="Calibri" w:cs="Calibri"/>
          <w:b/>
          <w:bCs/>
          <w:u w:val="single"/>
        </w:rPr>
        <w:t>(c) Goals, Priorities, and Strategies.</w:t>
      </w:r>
      <w:r w:rsidRPr="006C6124">
        <w:rPr>
          <w:rFonts w:ascii="Calibri" w:eastAsiaTheme="minorEastAsia" w:hAnsi="Calibri" w:cs="Calibri"/>
          <w:b/>
          <w:bCs/>
        </w:rPr>
        <w:t xml:space="preserve"> </w:t>
      </w:r>
      <w:r w:rsidRPr="006C6124">
        <w:rPr>
          <w:rFonts w:ascii="Calibri" w:eastAsiaTheme="minorEastAsia" w:hAnsi="Calibri" w:cs="Calibri"/>
        </w:rPr>
        <w:t>Section 101(a)(15) and (23) of the Rehabilitation Act require VR agencies to describe the goals and priorities of the State in carrying out the VR and Supported Employment programs. The goals and priorities are based on (1) the most recent CSNA, including any updates; (2) the State’s performance under the performance accountability measures of section 116 of WIOA; and (3) other available information on the operation and effectiveness of the VR program, including any reports received from the SRC</w:t>
      </w:r>
      <w:r w:rsidR="0078772E">
        <w:rPr>
          <w:rFonts w:ascii="Calibri" w:eastAsiaTheme="minorEastAsia" w:hAnsi="Calibri" w:cs="Calibri"/>
        </w:rPr>
        <w:t>,</w:t>
      </w:r>
      <w:r w:rsidRPr="006C6124">
        <w:rPr>
          <w:rFonts w:ascii="Calibri" w:eastAsiaTheme="minorEastAsia" w:hAnsi="Calibri" w:cs="Calibri"/>
        </w:rPr>
        <w:t xml:space="preserve"> and findings and recommendations from monitoring activities conducted under section 107 of the Rehabilitation Act. VR agencies must—</w:t>
      </w:r>
    </w:p>
    <w:p w14:paraId="0776C067" w14:textId="77777777" w:rsidR="00D0706C" w:rsidRPr="006C6124" w:rsidRDefault="00D0706C" w:rsidP="00D0706C">
      <w:pPr>
        <w:tabs>
          <w:tab w:val="left" w:pos="1490"/>
        </w:tabs>
        <w:ind w:left="360"/>
        <w:contextualSpacing/>
        <w:rPr>
          <w:rFonts w:ascii="Calibri" w:eastAsiaTheme="minorEastAsia" w:hAnsi="Calibri" w:cs="Calibri"/>
        </w:rPr>
      </w:pPr>
    </w:p>
    <w:p w14:paraId="71BFEB22" w14:textId="7D8A246B" w:rsidR="00D0706C" w:rsidRPr="00F14897" w:rsidRDefault="00D0706C" w:rsidP="00187A53">
      <w:pPr>
        <w:numPr>
          <w:ilvl w:val="0"/>
          <w:numId w:val="11"/>
        </w:numPr>
        <w:tabs>
          <w:tab w:val="left" w:pos="1490"/>
        </w:tabs>
        <w:spacing w:after="360" w:line="250" w:lineRule="auto"/>
        <w:ind w:right="58"/>
        <w:rPr>
          <w:rFonts w:ascii="Calibri" w:eastAsiaTheme="minorEastAsia" w:hAnsi="Calibri" w:cs="Calibri"/>
        </w:rPr>
      </w:pPr>
      <w:r w:rsidRPr="00F14897">
        <w:rPr>
          <w:rFonts w:ascii="Calibri" w:eastAsiaTheme="minorEastAsia" w:hAnsi="Calibri" w:cs="Calibri"/>
        </w:rPr>
        <w:t>Describe how the SRC</w:t>
      </w:r>
      <w:r w:rsidR="00D66D94" w:rsidRPr="00F14897">
        <w:rPr>
          <w:rFonts w:ascii="Calibri" w:eastAsiaTheme="minorEastAsia" w:hAnsi="Calibri" w:cs="Calibri"/>
        </w:rPr>
        <w:t>-B</w:t>
      </w:r>
      <w:r w:rsidRPr="00F14897">
        <w:rPr>
          <w:rFonts w:ascii="Calibri" w:eastAsiaTheme="minorEastAsia" w:hAnsi="Calibri" w:cs="Calibri"/>
        </w:rPr>
        <w:t xml:space="preserve"> and the VR agency jointly developed and agreed to the goals and priorities and any revisions; </w:t>
      </w:r>
    </w:p>
    <w:p w14:paraId="6E9013F4" w14:textId="1C3B032F" w:rsidR="00DD06CB" w:rsidRDefault="00CF3E85" w:rsidP="00D0706C">
      <w:pPr>
        <w:tabs>
          <w:tab w:val="left" w:pos="1490"/>
        </w:tabs>
        <w:ind w:left="360"/>
        <w:contextualSpacing/>
        <w:rPr>
          <w:rFonts w:ascii="Calibri" w:eastAsiaTheme="minorEastAsia" w:hAnsi="Calibri" w:cs="Calibri"/>
        </w:rPr>
      </w:pPr>
      <w:r w:rsidRPr="00F14897">
        <w:rPr>
          <w:rFonts w:ascii="Calibri" w:eastAsiaTheme="minorEastAsia" w:hAnsi="Calibri" w:cs="Calibri"/>
        </w:rPr>
        <w:t xml:space="preserve">The SRC-B has a standing “Customer Satisfaction </w:t>
      </w:r>
      <w:r w:rsidR="008152D4">
        <w:rPr>
          <w:rFonts w:ascii="Calibri" w:eastAsiaTheme="minorEastAsia" w:hAnsi="Calibri" w:cs="Calibri"/>
        </w:rPr>
        <w:t>and</w:t>
      </w:r>
      <w:r w:rsidRPr="00F14897">
        <w:rPr>
          <w:rFonts w:ascii="Calibri" w:eastAsiaTheme="minorEastAsia" w:hAnsi="Calibri" w:cs="Calibri"/>
        </w:rPr>
        <w:t xml:space="preserve"> Goals </w:t>
      </w:r>
      <w:r w:rsidR="008152D4">
        <w:rPr>
          <w:rFonts w:ascii="Calibri" w:eastAsiaTheme="minorEastAsia" w:hAnsi="Calibri" w:cs="Calibri"/>
        </w:rPr>
        <w:t>&amp;</w:t>
      </w:r>
      <w:r w:rsidRPr="00F14897">
        <w:rPr>
          <w:rFonts w:ascii="Calibri" w:eastAsiaTheme="minorEastAsia" w:hAnsi="Calibri" w:cs="Calibri"/>
        </w:rPr>
        <w:t xml:space="preserve"> Priorities Committee” which</w:t>
      </w:r>
      <w:r>
        <w:rPr>
          <w:rFonts w:ascii="Calibri" w:eastAsiaTheme="minorEastAsia" w:hAnsi="Calibri" w:cs="Calibri"/>
        </w:rPr>
        <w:t xml:space="preserve"> reviews and makes recommendations regarding customer satisfaction, goals and priorities, and VR effectiveness. The committee reports quarterly to the full SRC-B. In pr</w:t>
      </w:r>
      <w:r w:rsidR="0085304B">
        <w:rPr>
          <w:rFonts w:ascii="Calibri" w:eastAsiaTheme="minorEastAsia" w:hAnsi="Calibri" w:cs="Calibri"/>
        </w:rPr>
        <w:t xml:space="preserve">eparing the strategies for the goals and priorities, the SRC-B committees </w:t>
      </w:r>
      <w:r w:rsidR="00F32516">
        <w:rPr>
          <w:rFonts w:ascii="Calibri" w:eastAsiaTheme="minorEastAsia" w:hAnsi="Calibri" w:cs="Calibri"/>
        </w:rPr>
        <w:t xml:space="preserve">are </w:t>
      </w:r>
      <w:r w:rsidR="00F058EC">
        <w:rPr>
          <w:rFonts w:ascii="Calibri" w:eastAsiaTheme="minorEastAsia" w:hAnsi="Calibri" w:cs="Calibri"/>
        </w:rPr>
        <w:t xml:space="preserve">asked </w:t>
      </w:r>
      <w:r w:rsidR="00F32516">
        <w:rPr>
          <w:rFonts w:ascii="Calibri" w:eastAsiaTheme="minorEastAsia" w:hAnsi="Calibri" w:cs="Calibri"/>
        </w:rPr>
        <w:t>to submit</w:t>
      </w:r>
      <w:r w:rsidR="0085304B">
        <w:rPr>
          <w:rFonts w:ascii="Calibri" w:eastAsiaTheme="minorEastAsia" w:hAnsi="Calibri" w:cs="Calibri"/>
        </w:rPr>
        <w:t xml:space="preserve"> their recommendations to SSB. In 2023, </w:t>
      </w:r>
      <w:r w:rsidR="004B26DE">
        <w:rPr>
          <w:rFonts w:ascii="Calibri" w:eastAsiaTheme="minorEastAsia" w:hAnsi="Calibri" w:cs="Calibri"/>
        </w:rPr>
        <w:t xml:space="preserve">there were no </w:t>
      </w:r>
      <w:r w:rsidR="00BD4AFF">
        <w:rPr>
          <w:rFonts w:ascii="Calibri" w:eastAsiaTheme="minorEastAsia" w:hAnsi="Calibri" w:cs="Calibri"/>
        </w:rPr>
        <w:t>recommendations from the committees</w:t>
      </w:r>
      <w:r w:rsidR="004B26DE">
        <w:rPr>
          <w:rFonts w:ascii="Calibri" w:eastAsiaTheme="minorEastAsia" w:hAnsi="Calibri" w:cs="Calibri"/>
        </w:rPr>
        <w:t xml:space="preserve"> to review</w:t>
      </w:r>
      <w:r w:rsidR="00A34741">
        <w:rPr>
          <w:rFonts w:ascii="Calibri" w:eastAsiaTheme="minorEastAsia" w:hAnsi="Calibri" w:cs="Calibri"/>
        </w:rPr>
        <w:t>,</w:t>
      </w:r>
      <w:r w:rsidR="004B26DE" w:rsidRPr="004B26DE">
        <w:rPr>
          <w:rFonts w:ascii="Calibri" w:eastAsiaTheme="minorEastAsia" w:hAnsi="Calibri" w:cs="Calibri"/>
        </w:rPr>
        <w:t xml:space="preserve"> </w:t>
      </w:r>
      <w:r w:rsidR="00BD4AFF">
        <w:rPr>
          <w:rFonts w:ascii="Calibri" w:eastAsiaTheme="minorEastAsia" w:hAnsi="Calibri" w:cs="Calibri"/>
        </w:rPr>
        <w:t>and</w:t>
      </w:r>
      <w:r w:rsidR="004B26DE" w:rsidRPr="004B26DE">
        <w:rPr>
          <w:rFonts w:ascii="Calibri" w:eastAsiaTheme="minorEastAsia" w:hAnsi="Calibri" w:cs="Calibri"/>
        </w:rPr>
        <w:t xml:space="preserve"> </w:t>
      </w:r>
      <w:r w:rsidR="004B26DE">
        <w:rPr>
          <w:rFonts w:ascii="Calibri" w:eastAsiaTheme="minorEastAsia" w:hAnsi="Calibri" w:cs="Calibri"/>
        </w:rPr>
        <w:t>SSB and the Customer Satisfaction and Goals &amp; Priorities Committee</w:t>
      </w:r>
      <w:r w:rsidR="00BD4AFF">
        <w:rPr>
          <w:rFonts w:ascii="Calibri" w:eastAsiaTheme="minorEastAsia" w:hAnsi="Calibri" w:cs="Calibri"/>
        </w:rPr>
        <w:t xml:space="preserve"> jointly developed goals and p</w:t>
      </w:r>
      <w:r w:rsidR="002F5D9B">
        <w:rPr>
          <w:rFonts w:ascii="Calibri" w:eastAsiaTheme="minorEastAsia" w:hAnsi="Calibri" w:cs="Calibri"/>
        </w:rPr>
        <w:t>riorities for the program year 2024. They were presented to the SRC-B at the October</w:t>
      </w:r>
      <w:r w:rsidR="00CB457B">
        <w:rPr>
          <w:rFonts w:ascii="Calibri" w:eastAsiaTheme="minorEastAsia" w:hAnsi="Calibri" w:cs="Calibri"/>
        </w:rPr>
        <w:t xml:space="preserve"> </w:t>
      </w:r>
      <w:r w:rsidR="00106865">
        <w:rPr>
          <w:rFonts w:ascii="Calibri" w:eastAsiaTheme="minorEastAsia" w:hAnsi="Calibri" w:cs="Calibri"/>
        </w:rPr>
        <w:t>5, 2023</w:t>
      </w:r>
      <w:r w:rsidR="00A34741">
        <w:rPr>
          <w:rFonts w:ascii="Calibri" w:eastAsiaTheme="minorEastAsia" w:hAnsi="Calibri" w:cs="Calibri"/>
        </w:rPr>
        <w:t>,</w:t>
      </w:r>
      <w:r w:rsidR="00106865">
        <w:rPr>
          <w:rFonts w:ascii="Calibri" w:eastAsiaTheme="minorEastAsia" w:hAnsi="Calibri" w:cs="Calibri"/>
        </w:rPr>
        <w:t xml:space="preserve"> meeting and received a </w:t>
      </w:r>
      <w:r w:rsidR="005F4A86">
        <w:rPr>
          <w:rFonts w:ascii="Calibri" w:eastAsiaTheme="minorEastAsia" w:hAnsi="Calibri" w:cs="Calibri"/>
        </w:rPr>
        <w:t xml:space="preserve">unanimous vote of approval. </w:t>
      </w:r>
    </w:p>
    <w:p w14:paraId="741D43A5" w14:textId="13C1DBEF" w:rsidR="00D0706C" w:rsidRDefault="0007399F" w:rsidP="00907FD9">
      <w:pPr>
        <w:tabs>
          <w:tab w:val="left" w:pos="1490"/>
        </w:tabs>
        <w:spacing w:before="240" w:after="240"/>
        <w:ind w:left="360"/>
        <w:rPr>
          <w:rFonts w:ascii="Calibri" w:eastAsiaTheme="minorEastAsia" w:hAnsi="Calibri" w:cs="Calibri"/>
        </w:rPr>
      </w:pPr>
      <w:r>
        <w:rPr>
          <w:rFonts w:ascii="Calibri" w:eastAsiaTheme="minorEastAsia" w:hAnsi="Calibri" w:cs="Calibri"/>
        </w:rPr>
        <w:t>a</w:t>
      </w:r>
      <w:r w:rsidRPr="00F14897">
        <w:rPr>
          <w:rFonts w:ascii="Calibri" w:eastAsiaTheme="minorEastAsia" w:hAnsi="Calibri" w:cs="Calibri"/>
        </w:rPr>
        <w:t>nd</w:t>
      </w:r>
    </w:p>
    <w:p w14:paraId="21B90861" w14:textId="77777777" w:rsidR="00D0706C" w:rsidRPr="006C6124" w:rsidRDefault="00D0706C">
      <w:pPr>
        <w:numPr>
          <w:ilvl w:val="0"/>
          <w:numId w:val="11"/>
        </w:numPr>
        <w:tabs>
          <w:tab w:val="left" w:pos="1490"/>
        </w:tabs>
        <w:spacing w:after="5" w:line="250" w:lineRule="auto"/>
        <w:ind w:right="51"/>
        <w:contextualSpacing/>
        <w:rPr>
          <w:rFonts w:ascii="Calibri" w:eastAsiaTheme="minorEastAsia" w:hAnsi="Calibri" w:cs="Calibri"/>
        </w:rPr>
      </w:pPr>
      <w:r w:rsidRPr="006C6124">
        <w:rPr>
          <w:rFonts w:ascii="Calibri" w:eastAsiaTheme="minorEastAsia" w:hAnsi="Calibri" w:cs="Calibri"/>
        </w:rPr>
        <w:t>Identify measurable goals and priorities in carrying out the VR and Supported Employment programs and the basis for selecting the goals and priorities (e.g., CSNA, performance accountability measures, SRC recommendations, monitoring, other information). As required in section 101(a)(15)(D), (18), and (23), describe under each goal or priority, the strategies or methods used to achieve the goal or priority, including as applicable, description of strategies or methods that—</w:t>
      </w:r>
    </w:p>
    <w:p w14:paraId="52833965" w14:textId="77777777" w:rsidR="00D0706C" w:rsidRPr="006C6124" w:rsidRDefault="00D0706C" w:rsidP="00D0706C">
      <w:pPr>
        <w:tabs>
          <w:tab w:val="left" w:pos="1620"/>
          <w:tab w:val="left" w:pos="1800"/>
        </w:tabs>
        <w:ind w:left="360"/>
        <w:contextualSpacing/>
        <w:rPr>
          <w:rFonts w:ascii="Calibri" w:eastAsiaTheme="minorEastAsia" w:hAnsi="Calibri" w:cs="Calibri"/>
        </w:rPr>
      </w:pPr>
    </w:p>
    <w:p w14:paraId="0F3DAE76" w14:textId="77777777" w:rsidR="00D0706C" w:rsidRPr="006C6124" w:rsidRDefault="00D0706C">
      <w:pPr>
        <w:numPr>
          <w:ilvl w:val="0"/>
          <w:numId w:val="16"/>
        </w:numPr>
        <w:tabs>
          <w:tab w:val="left" w:pos="1620"/>
          <w:tab w:val="left" w:pos="1800"/>
        </w:tabs>
        <w:spacing w:after="5" w:line="250" w:lineRule="auto"/>
        <w:ind w:right="51"/>
        <w:contextualSpacing/>
        <w:rPr>
          <w:rFonts w:ascii="Calibri" w:eastAsiaTheme="minorEastAsia" w:hAnsi="Calibri" w:cs="Calibri"/>
        </w:rPr>
      </w:pPr>
      <w:r w:rsidRPr="006C6124">
        <w:rPr>
          <w:rFonts w:ascii="Calibri" w:eastAsiaTheme="minorEastAsia" w:hAnsi="Calibri" w:cs="Calibri"/>
        </w:rPr>
        <w:t>Support innovation and expansion activities;</w:t>
      </w:r>
    </w:p>
    <w:p w14:paraId="4C5AA561" w14:textId="77777777" w:rsidR="00D0706C" w:rsidRPr="006C6124" w:rsidRDefault="00D0706C">
      <w:pPr>
        <w:numPr>
          <w:ilvl w:val="0"/>
          <w:numId w:val="16"/>
        </w:numPr>
        <w:tabs>
          <w:tab w:val="left" w:pos="1620"/>
          <w:tab w:val="left" w:pos="1800"/>
        </w:tabs>
        <w:spacing w:after="5" w:line="250" w:lineRule="auto"/>
        <w:ind w:right="51"/>
        <w:contextualSpacing/>
        <w:rPr>
          <w:rFonts w:ascii="Calibri" w:eastAsiaTheme="minorEastAsia" w:hAnsi="Calibri" w:cs="Calibri"/>
        </w:rPr>
      </w:pPr>
      <w:r w:rsidRPr="006C6124">
        <w:rPr>
          <w:rFonts w:ascii="Calibri" w:eastAsiaTheme="minorEastAsia" w:hAnsi="Calibri" w:cs="Calibri"/>
        </w:rPr>
        <w:t>Overcome barriers to accessing VR and supported employment services;</w:t>
      </w:r>
    </w:p>
    <w:p w14:paraId="4C876323" w14:textId="77777777" w:rsidR="00D0706C" w:rsidRPr="006C6124" w:rsidRDefault="00D0706C">
      <w:pPr>
        <w:numPr>
          <w:ilvl w:val="0"/>
          <w:numId w:val="16"/>
        </w:numPr>
        <w:tabs>
          <w:tab w:val="left" w:pos="1800"/>
          <w:tab w:val="left" w:pos="1890"/>
        </w:tabs>
        <w:spacing w:after="5" w:line="250" w:lineRule="auto"/>
        <w:ind w:right="51"/>
        <w:contextualSpacing/>
        <w:rPr>
          <w:rFonts w:ascii="Calibri" w:eastAsiaTheme="minorEastAsia" w:hAnsi="Calibri" w:cs="Calibri"/>
        </w:rPr>
      </w:pPr>
      <w:r w:rsidRPr="006C6124">
        <w:rPr>
          <w:rFonts w:ascii="Calibri" w:eastAsiaTheme="minorEastAsia" w:hAnsi="Calibri" w:cs="Calibri"/>
        </w:rPr>
        <w:t>Improve and expand VR services for students with disabilities, including the coordination of services designed to facilitate the transition of such students from school to postsecondary life (including the receipt of VR services, post</w:t>
      </w:r>
    </w:p>
    <w:p w14:paraId="00F31AF2" w14:textId="77777777" w:rsidR="00D0706C" w:rsidRPr="006C6124" w:rsidRDefault="00D0706C" w:rsidP="00D0706C">
      <w:pPr>
        <w:tabs>
          <w:tab w:val="left" w:pos="1800"/>
          <w:tab w:val="left" w:pos="1890"/>
        </w:tabs>
        <w:ind w:left="1008"/>
        <w:contextualSpacing/>
        <w:rPr>
          <w:rFonts w:ascii="Calibri" w:eastAsiaTheme="minorEastAsia" w:hAnsi="Calibri" w:cs="Calibri"/>
        </w:rPr>
      </w:pPr>
      <w:r w:rsidRPr="006C6124">
        <w:rPr>
          <w:rFonts w:ascii="Calibri" w:eastAsiaTheme="minorEastAsia" w:hAnsi="Calibri" w:cs="Calibri"/>
        </w:rPr>
        <w:t>secondary education, employment, and pre-employment transition services); and</w:t>
      </w:r>
    </w:p>
    <w:p w14:paraId="095D789B" w14:textId="77777777" w:rsidR="00D0706C" w:rsidRPr="006C6124" w:rsidRDefault="00D0706C">
      <w:pPr>
        <w:numPr>
          <w:ilvl w:val="0"/>
          <w:numId w:val="16"/>
        </w:numPr>
        <w:tabs>
          <w:tab w:val="left" w:pos="1800"/>
          <w:tab w:val="left" w:pos="1890"/>
        </w:tabs>
        <w:spacing w:after="5" w:line="250" w:lineRule="auto"/>
        <w:ind w:right="51"/>
        <w:contextualSpacing/>
        <w:rPr>
          <w:rFonts w:ascii="Calibri" w:eastAsiaTheme="minorEastAsia" w:hAnsi="Calibri" w:cs="Calibri"/>
        </w:rPr>
      </w:pPr>
      <w:r w:rsidRPr="006C6124">
        <w:rPr>
          <w:rFonts w:ascii="Calibri" w:eastAsiaTheme="minorEastAsia" w:hAnsi="Calibri" w:cs="Calibri"/>
        </w:rPr>
        <w:lastRenderedPageBreak/>
        <w:t xml:space="preserve">Improve the performance of the VR and Supported Employment programs in assisting individuals with disabilities to achieve quality employment outcomes. </w:t>
      </w:r>
    </w:p>
    <w:p w14:paraId="61E878BF" w14:textId="693CACBE" w:rsidR="00D0706C" w:rsidRPr="006C6124" w:rsidRDefault="00D0706C" w:rsidP="00D0141D">
      <w:pPr>
        <w:tabs>
          <w:tab w:val="left" w:pos="1800"/>
          <w:tab w:val="left" w:pos="1890"/>
        </w:tabs>
        <w:spacing w:after="360"/>
        <w:ind w:left="994"/>
        <w:rPr>
          <w:rFonts w:ascii="Calibri" w:eastAsiaTheme="minorEastAsia" w:hAnsi="Calibri" w:cs="Calibri"/>
        </w:rPr>
      </w:pPr>
      <w:r w:rsidRPr="006C6124">
        <w:rPr>
          <w:rFonts w:ascii="Calibri" w:eastAsiaTheme="minorEastAsia" w:hAnsi="Calibri" w:cs="Calibri"/>
        </w:rPr>
        <w:t>[text box: List and number each goal/priority, noting the basis, and under each goal/priority list and number the strategies to achieve the goal/priority]</w:t>
      </w:r>
    </w:p>
    <w:p w14:paraId="11714271" w14:textId="108B0D23" w:rsidR="0093717F" w:rsidRPr="006C6124" w:rsidRDefault="0093717F" w:rsidP="0093717F">
      <w:pPr>
        <w:tabs>
          <w:tab w:val="left" w:pos="1800"/>
          <w:tab w:val="left" w:pos="1890"/>
        </w:tabs>
        <w:ind w:left="450"/>
        <w:contextualSpacing/>
        <w:rPr>
          <w:rFonts w:ascii="Calibri" w:eastAsiaTheme="minorEastAsia" w:hAnsi="Calibri" w:cs="Calibri"/>
        </w:rPr>
      </w:pPr>
      <w:r w:rsidRPr="006C6124">
        <w:rPr>
          <w:rFonts w:ascii="Calibri" w:eastAsiaTheme="minorEastAsia" w:hAnsi="Calibri" w:cs="Calibri"/>
        </w:rPr>
        <w:t xml:space="preserve">The following goals and priorities are established to </w:t>
      </w:r>
      <w:r w:rsidR="00176F43" w:rsidRPr="006C6124">
        <w:rPr>
          <w:rFonts w:ascii="Calibri" w:eastAsiaTheme="minorEastAsia" w:hAnsi="Calibri" w:cs="Calibri"/>
        </w:rPr>
        <w:t>guide</w:t>
      </w:r>
      <w:r w:rsidRPr="006C6124">
        <w:rPr>
          <w:rFonts w:ascii="Calibri" w:eastAsiaTheme="minorEastAsia" w:hAnsi="Calibri" w:cs="Calibri"/>
        </w:rPr>
        <w:t xml:space="preserve"> our work in the listed areas.  </w:t>
      </w:r>
      <w:r w:rsidR="00E7001B">
        <w:rPr>
          <w:rFonts w:ascii="Calibri" w:eastAsiaTheme="minorEastAsia" w:hAnsi="Calibri" w:cs="Calibri"/>
        </w:rPr>
        <w:t>They mirror the overall State Plan vision, goals, and strategies.</w:t>
      </w:r>
      <w:r w:rsidRPr="006C6124">
        <w:rPr>
          <w:rFonts w:ascii="Calibri" w:eastAsiaTheme="minorEastAsia" w:hAnsi="Calibri" w:cs="Calibri"/>
        </w:rPr>
        <w:t xml:space="preserve"> We recognize that measuring progress and outcomes are essential </w:t>
      </w:r>
      <w:r w:rsidR="000A27D6" w:rsidRPr="006C6124">
        <w:rPr>
          <w:rFonts w:ascii="Calibri" w:eastAsiaTheme="minorEastAsia" w:hAnsi="Calibri" w:cs="Calibri"/>
        </w:rPr>
        <w:t xml:space="preserve">to </w:t>
      </w:r>
      <w:r w:rsidRPr="006C6124">
        <w:rPr>
          <w:rFonts w:ascii="Calibri" w:eastAsiaTheme="minorEastAsia" w:hAnsi="Calibri" w:cs="Calibri"/>
        </w:rPr>
        <w:t xml:space="preserve">knowing how we are doing and </w:t>
      </w:r>
      <w:r w:rsidR="004035AC">
        <w:rPr>
          <w:rFonts w:ascii="Calibri" w:eastAsiaTheme="minorEastAsia" w:hAnsi="Calibri" w:cs="Calibri"/>
        </w:rPr>
        <w:t xml:space="preserve">what </w:t>
      </w:r>
      <w:r w:rsidRPr="006C6124">
        <w:rPr>
          <w:rFonts w:ascii="Calibri" w:eastAsiaTheme="minorEastAsia" w:hAnsi="Calibri" w:cs="Calibri"/>
        </w:rPr>
        <w:t>to adjust along the way.  Each area will have multiple staff and stakeholder participants who will determine what measures to apply</w:t>
      </w:r>
      <w:r w:rsidR="00EB19F9">
        <w:rPr>
          <w:rFonts w:ascii="Calibri" w:eastAsiaTheme="minorEastAsia" w:hAnsi="Calibri" w:cs="Calibri"/>
        </w:rPr>
        <w:t>,</w:t>
      </w:r>
      <w:r w:rsidRPr="006C6124">
        <w:rPr>
          <w:rFonts w:ascii="Calibri" w:eastAsiaTheme="minorEastAsia" w:hAnsi="Calibri" w:cs="Calibri"/>
        </w:rPr>
        <w:t xml:space="preserve"> so</w:t>
      </w:r>
      <w:r w:rsidR="00B61DAF" w:rsidRPr="006C6124">
        <w:rPr>
          <w:rFonts w:ascii="Calibri" w:eastAsiaTheme="minorEastAsia" w:hAnsi="Calibri" w:cs="Calibri"/>
        </w:rPr>
        <w:t xml:space="preserve"> ongoing</w:t>
      </w:r>
      <w:r w:rsidRPr="006C6124">
        <w:rPr>
          <w:rFonts w:ascii="Calibri" w:eastAsiaTheme="minorEastAsia" w:hAnsi="Calibri" w:cs="Calibri"/>
        </w:rPr>
        <w:t xml:space="preserve"> final reports clearly show results. </w:t>
      </w:r>
    </w:p>
    <w:p w14:paraId="410EAC7D" w14:textId="77777777" w:rsidR="0093717F" w:rsidRPr="006C6124" w:rsidRDefault="0093717F" w:rsidP="0093717F">
      <w:pPr>
        <w:tabs>
          <w:tab w:val="left" w:pos="1800"/>
          <w:tab w:val="left" w:pos="1890"/>
        </w:tabs>
        <w:ind w:left="450"/>
        <w:contextualSpacing/>
        <w:rPr>
          <w:rFonts w:ascii="Calibri" w:eastAsiaTheme="minorEastAsia" w:hAnsi="Calibri" w:cs="Calibri"/>
          <w:b/>
          <w:bCs/>
        </w:rPr>
      </w:pPr>
    </w:p>
    <w:p w14:paraId="6AFBFD2B" w14:textId="6D80A72E" w:rsidR="0093717F" w:rsidRPr="006C6124" w:rsidRDefault="0093717F">
      <w:pPr>
        <w:pStyle w:val="ListParagraph"/>
        <w:numPr>
          <w:ilvl w:val="0"/>
          <w:numId w:val="39"/>
        </w:numPr>
        <w:tabs>
          <w:tab w:val="left" w:pos="1800"/>
          <w:tab w:val="left" w:pos="1890"/>
        </w:tabs>
        <w:rPr>
          <w:rFonts w:ascii="Calibri" w:eastAsiaTheme="minorEastAsia" w:hAnsi="Calibri" w:cs="Calibri"/>
        </w:rPr>
      </w:pPr>
      <w:r w:rsidRPr="006C6124">
        <w:rPr>
          <w:rFonts w:ascii="Calibri" w:eastAsiaTheme="minorEastAsia" w:hAnsi="Calibri" w:cs="Calibri"/>
          <w:b/>
          <w:bCs/>
        </w:rPr>
        <w:t>Improve Partnerships</w:t>
      </w:r>
      <w:r w:rsidRPr="006C6124">
        <w:rPr>
          <w:rFonts w:ascii="Calibri" w:eastAsiaTheme="minorEastAsia" w:hAnsi="Calibri" w:cs="Calibri"/>
          <w:b/>
          <w:bCs/>
          <w:i/>
          <w:iCs/>
        </w:rPr>
        <w:t xml:space="preserve">. </w:t>
      </w:r>
      <w:r w:rsidRPr="006C6124">
        <w:rPr>
          <w:rFonts w:ascii="Calibri" w:eastAsiaTheme="minorEastAsia" w:hAnsi="Calibri" w:cs="Calibri"/>
        </w:rPr>
        <w:t>Increase interagency coordination with local and state workforce partners so individuals who are blind, low vision, and DeafBlind</w:t>
      </w:r>
      <w:r w:rsidR="00C972FC">
        <w:rPr>
          <w:rFonts w:ascii="Calibri" w:eastAsiaTheme="minorEastAsia" w:hAnsi="Calibri" w:cs="Calibri"/>
        </w:rPr>
        <w:t>,</w:t>
      </w:r>
      <w:r w:rsidRPr="006C6124">
        <w:rPr>
          <w:rFonts w:ascii="Calibri" w:eastAsiaTheme="minorEastAsia" w:hAnsi="Calibri" w:cs="Calibri"/>
        </w:rPr>
        <w:t xml:space="preserve"> and employers have a customer-centric, positive experience no matter which “door” they enter.</w:t>
      </w:r>
      <w:r w:rsidR="00937261" w:rsidRPr="006C6124">
        <w:rPr>
          <w:rFonts w:ascii="Calibri" w:eastAsiaTheme="minorEastAsia" w:hAnsi="Calibri" w:cs="Calibri"/>
        </w:rPr>
        <w:t xml:space="preserve"> </w:t>
      </w:r>
      <w:r w:rsidR="00364891" w:rsidRPr="006C6124">
        <w:rPr>
          <w:rFonts w:ascii="Calibri" w:eastAsiaTheme="minorEastAsia" w:hAnsi="Calibri" w:cs="Calibri"/>
        </w:rPr>
        <w:t>The basis for this</w:t>
      </w:r>
      <w:r w:rsidR="007804BC" w:rsidRPr="006C6124">
        <w:rPr>
          <w:rFonts w:ascii="Calibri" w:eastAsiaTheme="minorEastAsia" w:hAnsi="Calibri" w:cs="Calibri"/>
        </w:rPr>
        <w:t xml:space="preserve"> goal/priority</w:t>
      </w:r>
      <w:r w:rsidR="00667710" w:rsidRPr="006C6124">
        <w:rPr>
          <w:rFonts w:ascii="Calibri" w:eastAsiaTheme="minorEastAsia" w:hAnsi="Calibri" w:cs="Calibri"/>
        </w:rPr>
        <w:t xml:space="preserve"> </w:t>
      </w:r>
      <w:r w:rsidR="006A3CF5" w:rsidRPr="006C6124">
        <w:rPr>
          <w:rFonts w:ascii="Calibri" w:eastAsiaTheme="minorEastAsia" w:hAnsi="Calibri" w:cs="Calibri"/>
        </w:rPr>
        <w:t xml:space="preserve">is SSB’s Evolve: VR </w:t>
      </w:r>
      <w:r w:rsidR="00E760CD" w:rsidRPr="006C6124">
        <w:rPr>
          <w:rFonts w:ascii="Calibri" w:eastAsiaTheme="minorEastAsia" w:hAnsi="Calibri" w:cs="Calibri"/>
        </w:rPr>
        <w:t xml:space="preserve">Initiative. </w:t>
      </w:r>
    </w:p>
    <w:p w14:paraId="602C3894"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1B837D94" w14:textId="2E05643B" w:rsidR="0093717F" w:rsidRPr="006C6124" w:rsidRDefault="0093717F">
      <w:pPr>
        <w:pStyle w:val="ListParagraph"/>
        <w:numPr>
          <w:ilvl w:val="0"/>
          <w:numId w:val="52"/>
        </w:numPr>
        <w:tabs>
          <w:tab w:val="left" w:pos="1800"/>
          <w:tab w:val="left" w:pos="1890"/>
        </w:tabs>
        <w:rPr>
          <w:rFonts w:ascii="Calibri" w:eastAsiaTheme="minorEastAsia" w:hAnsi="Calibri" w:cs="Calibri"/>
        </w:rPr>
      </w:pPr>
      <w:r w:rsidRPr="006C6124">
        <w:rPr>
          <w:rFonts w:ascii="Calibri" w:eastAsiaTheme="minorEastAsia" w:hAnsi="Calibri" w:cs="Calibri"/>
        </w:rPr>
        <w:t>Implement an outreach and training campaign that increases the relationships and engagement between Community Partners and SSB staff, so customers quickly receive needed services by:</w:t>
      </w:r>
    </w:p>
    <w:p w14:paraId="1E755B41"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173A80D7" w14:textId="06CA1A60" w:rsidR="0093717F" w:rsidRPr="006C6124" w:rsidRDefault="0093717F">
      <w:pPr>
        <w:pStyle w:val="ListParagraph"/>
        <w:numPr>
          <w:ilvl w:val="0"/>
          <w:numId w:val="40"/>
        </w:numPr>
        <w:tabs>
          <w:tab w:val="left" w:pos="1800"/>
          <w:tab w:val="left" w:pos="1890"/>
        </w:tabs>
        <w:rPr>
          <w:rFonts w:ascii="Calibri" w:eastAsiaTheme="minorEastAsia" w:hAnsi="Calibri" w:cs="Calibri"/>
        </w:rPr>
      </w:pPr>
      <w:r w:rsidRPr="006C6124">
        <w:rPr>
          <w:rFonts w:ascii="Calibri" w:eastAsiaTheme="minorEastAsia" w:hAnsi="Calibri" w:cs="Calibri"/>
        </w:rPr>
        <w:t xml:space="preserve">Building a Community Partner Search Tool in WF1 so staff can quickly locate service providers. </w:t>
      </w:r>
    </w:p>
    <w:p w14:paraId="3A6D82BC"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163D3CD8" w14:textId="02F9C99E" w:rsidR="0093717F" w:rsidRPr="006C6124" w:rsidRDefault="0057482C">
      <w:pPr>
        <w:pStyle w:val="ListParagraph"/>
        <w:numPr>
          <w:ilvl w:val="0"/>
          <w:numId w:val="40"/>
        </w:numPr>
        <w:tabs>
          <w:tab w:val="left" w:pos="1800"/>
          <w:tab w:val="left" w:pos="1890"/>
        </w:tabs>
        <w:rPr>
          <w:rFonts w:ascii="Calibri" w:eastAsiaTheme="minorEastAsia" w:hAnsi="Calibri" w:cs="Calibri"/>
        </w:rPr>
      </w:pPr>
      <w:r w:rsidRPr="006C6124">
        <w:rPr>
          <w:rFonts w:ascii="Calibri" w:eastAsiaTheme="minorEastAsia" w:hAnsi="Calibri" w:cs="Calibri"/>
        </w:rPr>
        <w:t>H</w:t>
      </w:r>
      <w:r w:rsidR="0093717F" w:rsidRPr="006C6124">
        <w:rPr>
          <w:rFonts w:ascii="Calibri" w:eastAsiaTheme="minorEastAsia" w:hAnsi="Calibri" w:cs="Calibri"/>
        </w:rPr>
        <w:t>osting regularly scheduled Community Partner and WDU staff training sessions that focus on a certain service type and inviting partners who provide that service to introduce themselves and their services.</w:t>
      </w:r>
    </w:p>
    <w:p w14:paraId="4653D614"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19488C2B" w14:textId="4E04C73C" w:rsidR="0093717F" w:rsidRPr="006C6124" w:rsidRDefault="0093717F">
      <w:pPr>
        <w:pStyle w:val="ListParagraph"/>
        <w:numPr>
          <w:ilvl w:val="0"/>
          <w:numId w:val="40"/>
        </w:numPr>
        <w:tabs>
          <w:tab w:val="left" w:pos="1800"/>
          <w:tab w:val="left" w:pos="1890"/>
        </w:tabs>
        <w:rPr>
          <w:rFonts w:ascii="Calibri" w:eastAsiaTheme="minorEastAsia" w:hAnsi="Calibri" w:cs="Calibri"/>
        </w:rPr>
      </w:pPr>
      <w:r w:rsidRPr="006C6124">
        <w:rPr>
          <w:rFonts w:ascii="Calibri" w:eastAsiaTheme="minorEastAsia" w:hAnsi="Calibri" w:cs="Calibri"/>
        </w:rPr>
        <w:t>Developing a schedule to regularly engage with Workforce partners to remind and educate them about how best to work with</w:t>
      </w:r>
      <w:r w:rsidR="00E061C0">
        <w:rPr>
          <w:rFonts w:ascii="Calibri" w:eastAsiaTheme="minorEastAsia" w:hAnsi="Calibri" w:cs="Calibri"/>
        </w:rPr>
        <w:t>,</w:t>
      </w:r>
      <w:r w:rsidRPr="006C6124">
        <w:rPr>
          <w:rFonts w:ascii="Calibri" w:eastAsiaTheme="minorEastAsia" w:hAnsi="Calibri" w:cs="Calibri"/>
        </w:rPr>
        <w:t xml:space="preserve"> and refer individuals to</w:t>
      </w:r>
      <w:r w:rsidR="008B3F01">
        <w:rPr>
          <w:rFonts w:ascii="Calibri" w:eastAsiaTheme="minorEastAsia" w:hAnsi="Calibri" w:cs="Calibri"/>
        </w:rPr>
        <w:t>,</w:t>
      </w:r>
      <w:r w:rsidRPr="006C6124">
        <w:rPr>
          <w:rFonts w:ascii="Calibri" w:eastAsiaTheme="minorEastAsia" w:hAnsi="Calibri" w:cs="Calibri"/>
        </w:rPr>
        <w:t xml:space="preserve"> SSB.</w:t>
      </w:r>
    </w:p>
    <w:p w14:paraId="269AFE94" w14:textId="77777777" w:rsidR="003C6D6E" w:rsidRPr="006C6124" w:rsidRDefault="003C6D6E" w:rsidP="003C6D6E">
      <w:pPr>
        <w:tabs>
          <w:tab w:val="left" w:pos="1800"/>
          <w:tab w:val="left" w:pos="1890"/>
        </w:tabs>
        <w:ind w:left="810"/>
        <w:rPr>
          <w:rFonts w:ascii="Calibri" w:eastAsiaTheme="minorEastAsia" w:hAnsi="Calibri" w:cs="Calibri"/>
        </w:rPr>
      </w:pPr>
    </w:p>
    <w:p w14:paraId="616C9331" w14:textId="77777777" w:rsidR="006772D7" w:rsidRPr="006C6124" w:rsidRDefault="006772D7" w:rsidP="0093717F">
      <w:pPr>
        <w:tabs>
          <w:tab w:val="left" w:pos="1800"/>
          <w:tab w:val="left" w:pos="1890"/>
        </w:tabs>
        <w:ind w:left="450"/>
        <w:contextualSpacing/>
        <w:rPr>
          <w:rFonts w:ascii="Calibri" w:eastAsiaTheme="minorEastAsia" w:hAnsi="Calibri" w:cs="Calibri"/>
        </w:rPr>
      </w:pPr>
    </w:p>
    <w:p w14:paraId="275EBC0A" w14:textId="2BA9FF0F" w:rsidR="0093717F" w:rsidRPr="006C6124" w:rsidRDefault="0093717F">
      <w:pPr>
        <w:pStyle w:val="ListParagraph"/>
        <w:numPr>
          <w:ilvl w:val="0"/>
          <w:numId w:val="52"/>
        </w:numPr>
        <w:tabs>
          <w:tab w:val="left" w:pos="1800"/>
          <w:tab w:val="left" w:pos="1890"/>
        </w:tabs>
        <w:rPr>
          <w:rFonts w:ascii="Calibri" w:eastAsiaTheme="minorEastAsia" w:hAnsi="Calibri" w:cs="Calibri"/>
        </w:rPr>
      </w:pPr>
      <w:r w:rsidRPr="006C6124">
        <w:rPr>
          <w:rFonts w:ascii="Calibri" w:eastAsiaTheme="minorEastAsia" w:hAnsi="Calibri" w:cs="Calibri"/>
        </w:rPr>
        <w:t>Develop a universal application and process by:</w:t>
      </w:r>
    </w:p>
    <w:p w14:paraId="78608985"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2A88B4DE" w14:textId="5C334CC1" w:rsidR="0093717F" w:rsidRPr="006C6124" w:rsidRDefault="0093717F">
      <w:pPr>
        <w:pStyle w:val="ListParagraph"/>
        <w:numPr>
          <w:ilvl w:val="0"/>
          <w:numId w:val="41"/>
        </w:numPr>
        <w:tabs>
          <w:tab w:val="left" w:pos="1800"/>
          <w:tab w:val="left" w:pos="1890"/>
        </w:tabs>
        <w:rPr>
          <w:rFonts w:ascii="Calibri" w:eastAsiaTheme="minorEastAsia" w:hAnsi="Calibri" w:cs="Calibri"/>
        </w:rPr>
      </w:pPr>
      <w:r w:rsidRPr="006C6124">
        <w:rPr>
          <w:rFonts w:ascii="Calibri" w:eastAsiaTheme="minorEastAsia" w:hAnsi="Calibri" w:cs="Calibri"/>
        </w:rPr>
        <w:t>Creating a digital, accessible referral process that quickly and easily connects customers to a WDU staff.</w:t>
      </w:r>
    </w:p>
    <w:p w14:paraId="598F84BC" w14:textId="77777777" w:rsidR="0093717F" w:rsidRPr="006C6124" w:rsidRDefault="0093717F" w:rsidP="001E7D2D">
      <w:pPr>
        <w:tabs>
          <w:tab w:val="left" w:pos="1800"/>
          <w:tab w:val="left" w:pos="1890"/>
        </w:tabs>
        <w:ind w:left="446"/>
        <w:contextualSpacing/>
        <w:rPr>
          <w:rFonts w:ascii="Calibri" w:eastAsiaTheme="minorEastAsia" w:hAnsi="Calibri" w:cs="Calibri"/>
        </w:rPr>
      </w:pPr>
    </w:p>
    <w:p w14:paraId="71E40333" w14:textId="006EBD1B" w:rsidR="0093717F" w:rsidRPr="006C6124" w:rsidRDefault="0093717F">
      <w:pPr>
        <w:pStyle w:val="ListParagraph"/>
        <w:numPr>
          <w:ilvl w:val="0"/>
          <w:numId w:val="41"/>
        </w:numPr>
        <w:tabs>
          <w:tab w:val="left" w:pos="1800"/>
          <w:tab w:val="left" w:pos="1890"/>
        </w:tabs>
        <w:rPr>
          <w:rFonts w:ascii="Calibri" w:eastAsiaTheme="minorEastAsia" w:hAnsi="Calibri" w:cs="Calibri"/>
        </w:rPr>
      </w:pPr>
      <w:r w:rsidRPr="006C6124">
        <w:rPr>
          <w:rFonts w:ascii="Calibri" w:eastAsiaTheme="minorEastAsia" w:hAnsi="Calibri" w:cs="Calibri"/>
        </w:rPr>
        <w:t>Designing an electronic application that is easy to complete and deliver to WDU staff.</w:t>
      </w:r>
    </w:p>
    <w:p w14:paraId="1217B056" w14:textId="77777777" w:rsidR="003C6D6E" w:rsidRPr="006C6124" w:rsidRDefault="003C6D6E" w:rsidP="003C6D6E">
      <w:pPr>
        <w:tabs>
          <w:tab w:val="left" w:pos="1800"/>
          <w:tab w:val="left" w:pos="1890"/>
        </w:tabs>
        <w:rPr>
          <w:rFonts w:ascii="Calibri" w:eastAsiaTheme="minorEastAsia" w:hAnsi="Calibri" w:cs="Calibri"/>
        </w:rPr>
      </w:pPr>
      <w:r w:rsidRPr="006C6124">
        <w:rPr>
          <w:rFonts w:ascii="Calibri" w:eastAsiaTheme="minorEastAsia" w:hAnsi="Calibri" w:cs="Calibri"/>
        </w:rPr>
        <w:t xml:space="preserve"> </w:t>
      </w:r>
    </w:p>
    <w:p w14:paraId="535BB2BD"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7FE4D632" w14:textId="08C71B70" w:rsidR="0093717F" w:rsidRPr="006C6124" w:rsidRDefault="003C6D6E" w:rsidP="0093717F">
      <w:pPr>
        <w:tabs>
          <w:tab w:val="left" w:pos="1800"/>
          <w:tab w:val="left" w:pos="1890"/>
        </w:tabs>
        <w:ind w:left="450"/>
        <w:contextualSpacing/>
        <w:rPr>
          <w:rFonts w:ascii="Calibri" w:eastAsiaTheme="minorEastAsia" w:hAnsi="Calibri" w:cs="Calibri"/>
        </w:rPr>
      </w:pPr>
      <w:r w:rsidRPr="006C6124">
        <w:rPr>
          <w:rFonts w:ascii="Calibri" w:eastAsiaTheme="minorEastAsia" w:hAnsi="Calibri" w:cs="Calibri"/>
        </w:rPr>
        <w:tab/>
      </w:r>
      <w:r w:rsidR="0093717F" w:rsidRPr="006C6124">
        <w:rPr>
          <w:rFonts w:ascii="Calibri" w:eastAsiaTheme="minorEastAsia" w:hAnsi="Calibri" w:cs="Calibri"/>
        </w:rPr>
        <w:tab/>
      </w:r>
      <w:r w:rsidR="0093717F" w:rsidRPr="006C6124">
        <w:rPr>
          <w:rFonts w:ascii="Calibri" w:eastAsiaTheme="minorEastAsia" w:hAnsi="Calibri" w:cs="Calibri"/>
        </w:rPr>
        <w:tab/>
      </w:r>
    </w:p>
    <w:p w14:paraId="08FA3EB1" w14:textId="70074731" w:rsidR="0093717F" w:rsidRPr="006C6124" w:rsidRDefault="0093717F">
      <w:pPr>
        <w:pStyle w:val="ListParagraph"/>
        <w:numPr>
          <w:ilvl w:val="0"/>
          <w:numId w:val="39"/>
        </w:numPr>
        <w:tabs>
          <w:tab w:val="left" w:pos="1800"/>
          <w:tab w:val="left" w:pos="1890"/>
        </w:tabs>
        <w:rPr>
          <w:rFonts w:ascii="Calibri" w:eastAsiaTheme="minorEastAsia" w:hAnsi="Calibri" w:cs="Calibri"/>
        </w:rPr>
      </w:pPr>
      <w:r w:rsidRPr="006C6124">
        <w:rPr>
          <w:rFonts w:ascii="Calibri" w:eastAsiaTheme="minorEastAsia" w:hAnsi="Calibri" w:cs="Calibri"/>
          <w:b/>
          <w:bCs/>
        </w:rPr>
        <w:t>Increase the Workforce Participation Rate</w:t>
      </w:r>
      <w:r w:rsidRPr="006C6124">
        <w:rPr>
          <w:rFonts w:ascii="Calibri" w:eastAsiaTheme="minorEastAsia" w:hAnsi="Calibri" w:cs="Calibri"/>
          <w:b/>
          <w:bCs/>
          <w:i/>
          <w:iCs/>
        </w:rPr>
        <w:t xml:space="preserve">. </w:t>
      </w:r>
      <w:r w:rsidRPr="006C6124">
        <w:rPr>
          <w:rFonts w:ascii="Calibri" w:eastAsiaTheme="minorEastAsia" w:hAnsi="Calibri" w:cs="Calibri"/>
        </w:rPr>
        <w:t xml:space="preserve">Build relationships with businesses that lead to career opportunities with family sustaining wages for individuals who are blind, low vision, and DeafBlind.  It is recognized that services prior to job placement in the individuals plan may include internships and work opportunities that build a work foundation </w:t>
      </w:r>
      <w:r w:rsidR="00CD6DCF">
        <w:rPr>
          <w:rFonts w:ascii="Calibri" w:eastAsiaTheme="minorEastAsia" w:hAnsi="Calibri" w:cs="Calibri"/>
        </w:rPr>
        <w:t>which</w:t>
      </w:r>
      <w:r w:rsidR="00CD6DCF" w:rsidRPr="006C6124">
        <w:rPr>
          <w:rFonts w:ascii="Calibri" w:eastAsiaTheme="minorEastAsia" w:hAnsi="Calibri" w:cs="Calibri"/>
        </w:rPr>
        <w:t xml:space="preserve"> </w:t>
      </w:r>
      <w:r w:rsidRPr="006C6124">
        <w:rPr>
          <w:rFonts w:ascii="Calibri" w:eastAsiaTheme="minorEastAsia" w:hAnsi="Calibri" w:cs="Calibri"/>
        </w:rPr>
        <w:t>leads to meaningful and career path employment.</w:t>
      </w:r>
      <w:r w:rsidR="007804BC" w:rsidRPr="006C6124">
        <w:rPr>
          <w:rFonts w:ascii="Calibri" w:eastAsiaTheme="minorEastAsia" w:hAnsi="Calibri" w:cs="Calibri"/>
        </w:rPr>
        <w:t xml:space="preserve"> The basis for this goal/priority is SSB’s Evolve: VR Initiative. </w:t>
      </w:r>
    </w:p>
    <w:p w14:paraId="0343CFF7" w14:textId="4551F6BA" w:rsidR="0093717F" w:rsidRPr="006C6124" w:rsidRDefault="007804BC" w:rsidP="0093717F">
      <w:pPr>
        <w:tabs>
          <w:tab w:val="left" w:pos="1800"/>
          <w:tab w:val="left" w:pos="1890"/>
        </w:tabs>
        <w:ind w:left="450"/>
        <w:contextualSpacing/>
        <w:rPr>
          <w:rFonts w:ascii="Calibri" w:eastAsiaTheme="minorEastAsia" w:hAnsi="Calibri" w:cs="Calibri"/>
        </w:rPr>
      </w:pPr>
      <w:r w:rsidRPr="006C6124">
        <w:rPr>
          <w:rFonts w:ascii="Calibri" w:eastAsiaTheme="minorEastAsia" w:hAnsi="Calibri" w:cs="Calibri"/>
        </w:rPr>
        <w:tab/>
      </w:r>
      <w:r w:rsidR="0093717F" w:rsidRPr="006C6124">
        <w:rPr>
          <w:rFonts w:ascii="Calibri" w:eastAsiaTheme="minorEastAsia" w:hAnsi="Calibri" w:cs="Calibri"/>
        </w:rPr>
        <w:tab/>
      </w:r>
    </w:p>
    <w:p w14:paraId="5B8DEB07" w14:textId="1BCD7DDF" w:rsidR="0093717F" w:rsidRPr="006C6124" w:rsidRDefault="0093717F">
      <w:pPr>
        <w:pStyle w:val="ListParagraph"/>
        <w:numPr>
          <w:ilvl w:val="0"/>
          <w:numId w:val="52"/>
        </w:numPr>
        <w:tabs>
          <w:tab w:val="left" w:pos="360"/>
          <w:tab w:val="left" w:pos="1800"/>
          <w:tab w:val="left" w:pos="1890"/>
        </w:tabs>
        <w:rPr>
          <w:rFonts w:ascii="Calibri" w:eastAsiaTheme="minorEastAsia" w:hAnsi="Calibri" w:cs="Calibri"/>
        </w:rPr>
      </w:pPr>
      <w:r w:rsidRPr="006C6124">
        <w:rPr>
          <w:rFonts w:ascii="Calibri" w:eastAsiaTheme="minorEastAsia" w:hAnsi="Calibri" w:cs="Calibri"/>
        </w:rPr>
        <w:t>Redesign how we prepare job seekers and connect them with vacancies by implementing the Rapid Placement Model that places customers into their chosen field as quickly as possible by:</w:t>
      </w:r>
    </w:p>
    <w:p w14:paraId="6E7E6381" w14:textId="77777777" w:rsidR="0093717F" w:rsidRPr="006C6124" w:rsidRDefault="0093717F" w:rsidP="0093717F">
      <w:pPr>
        <w:tabs>
          <w:tab w:val="left" w:pos="1800"/>
          <w:tab w:val="left" w:pos="1890"/>
        </w:tabs>
        <w:ind w:left="450"/>
        <w:contextualSpacing/>
        <w:rPr>
          <w:rFonts w:ascii="Calibri" w:eastAsiaTheme="minorEastAsia" w:hAnsi="Calibri" w:cs="Calibri"/>
        </w:rPr>
      </w:pPr>
      <w:r w:rsidRPr="006C6124">
        <w:rPr>
          <w:rFonts w:ascii="Calibri" w:eastAsiaTheme="minorEastAsia" w:hAnsi="Calibri" w:cs="Calibri"/>
        </w:rPr>
        <w:tab/>
      </w:r>
    </w:p>
    <w:p w14:paraId="01BC354B" w14:textId="27F6AD5F" w:rsidR="0093717F" w:rsidRPr="006C6124" w:rsidRDefault="0093717F">
      <w:pPr>
        <w:pStyle w:val="ListParagraph"/>
        <w:numPr>
          <w:ilvl w:val="0"/>
          <w:numId w:val="42"/>
        </w:numPr>
        <w:tabs>
          <w:tab w:val="left" w:pos="1800"/>
          <w:tab w:val="left" w:pos="1890"/>
        </w:tabs>
        <w:ind w:left="2160"/>
        <w:rPr>
          <w:rFonts w:ascii="Calibri" w:eastAsiaTheme="minorEastAsia" w:hAnsi="Calibri" w:cs="Calibri"/>
        </w:rPr>
      </w:pPr>
      <w:r w:rsidRPr="006C6124">
        <w:rPr>
          <w:rFonts w:ascii="Calibri" w:eastAsiaTheme="minorEastAsia" w:hAnsi="Calibri" w:cs="Calibri"/>
        </w:rPr>
        <w:t>Reimagining WDU’s employment services model so the framework meets the needs of customers, businesses, and staff.</w:t>
      </w:r>
    </w:p>
    <w:p w14:paraId="2C55213D" w14:textId="77777777" w:rsidR="0093717F" w:rsidRPr="006C6124" w:rsidRDefault="0093717F" w:rsidP="00C310C6">
      <w:pPr>
        <w:tabs>
          <w:tab w:val="left" w:pos="1800"/>
          <w:tab w:val="left" w:pos="1890"/>
        </w:tabs>
        <w:ind w:left="1170"/>
        <w:contextualSpacing/>
        <w:rPr>
          <w:rFonts w:ascii="Calibri" w:eastAsiaTheme="minorEastAsia" w:hAnsi="Calibri" w:cs="Calibri"/>
        </w:rPr>
      </w:pPr>
      <w:r w:rsidRPr="006C6124">
        <w:rPr>
          <w:rFonts w:ascii="Calibri" w:eastAsiaTheme="minorEastAsia" w:hAnsi="Calibri" w:cs="Calibri"/>
        </w:rPr>
        <w:tab/>
      </w:r>
      <w:r w:rsidRPr="006C6124">
        <w:rPr>
          <w:rFonts w:ascii="Calibri" w:eastAsiaTheme="minorEastAsia" w:hAnsi="Calibri" w:cs="Calibri"/>
        </w:rPr>
        <w:tab/>
      </w:r>
    </w:p>
    <w:p w14:paraId="58E8F455" w14:textId="6954E065" w:rsidR="0093717F" w:rsidRPr="006C6124" w:rsidRDefault="0093717F">
      <w:pPr>
        <w:pStyle w:val="ListParagraph"/>
        <w:numPr>
          <w:ilvl w:val="0"/>
          <w:numId w:val="42"/>
        </w:numPr>
        <w:tabs>
          <w:tab w:val="left" w:pos="1800"/>
          <w:tab w:val="left" w:pos="1890"/>
        </w:tabs>
        <w:ind w:left="2160"/>
        <w:rPr>
          <w:rFonts w:ascii="Calibri" w:eastAsiaTheme="minorEastAsia" w:hAnsi="Calibri" w:cs="Calibri"/>
        </w:rPr>
      </w:pPr>
      <w:r w:rsidRPr="006C6124">
        <w:rPr>
          <w:rFonts w:ascii="Calibri" w:eastAsiaTheme="minorEastAsia" w:hAnsi="Calibri" w:cs="Calibri"/>
        </w:rPr>
        <w:t>Establishing a system and process that connects customers to vacancies quickly and efficiently.</w:t>
      </w:r>
    </w:p>
    <w:p w14:paraId="7BF2432E" w14:textId="77777777" w:rsidR="0093717F" w:rsidRPr="006C6124" w:rsidRDefault="0093717F" w:rsidP="00C310C6">
      <w:pPr>
        <w:tabs>
          <w:tab w:val="left" w:pos="1800"/>
          <w:tab w:val="left" w:pos="1890"/>
        </w:tabs>
        <w:ind w:left="1170"/>
        <w:contextualSpacing/>
        <w:rPr>
          <w:rFonts w:ascii="Calibri" w:eastAsiaTheme="minorEastAsia" w:hAnsi="Calibri" w:cs="Calibri"/>
        </w:rPr>
      </w:pPr>
    </w:p>
    <w:p w14:paraId="180847E8" w14:textId="2AE1350A" w:rsidR="0093717F" w:rsidRPr="006C6124" w:rsidRDefault="0093717F">
      <w:pPr>
        <w:pStyle w:val="ListParagraph"/>
        <w:numPr>
          <w:ilvl w:val="0"/>
          <w:numId w:val="42"/>
        </w:numPr>
        <w:tabs>
          <w:tab w:val="left" w:pos="1800"/>
          <w:tab w:val="left" w:pos="1890"/>
        </w:tabs>
        <w:ind w:left="2160"/>
        <w:rPr>
          <w:rFonts w:ascii="Calibri" w:eastAsiaTheme="minorEastAsia" w:hAnsi="Calibri" w:cs="Calibri"/>
        </w:rPr>
      </w:pPr>
      <w:r w:rsidRPr="006C6124">
        <w:rPr>
          <w:rFonts w:ascii="Calibri" w:eastAsiaTheme="minorEastAsia" w:hAnsi="Calibri" w:cs="Calibri"/>
        </w:rPr>
        <w:t>Better utilizing the WF1 Talent Pool page so job leads are easily shared with customers.</w:t>
      </w:r>
    </w:p>
    <w:p w14:paraId="10BB3D11" w14:textId="77777777" w:rsidR="0093717F" w:rsidRPr="006C6124" w:rsidRDefault="0093717F" w:rsidP="00C310C6">
      <w:pPr>
        <w:tabs>
          <w:tab w:val="left" w:pos="1800"/>
          <w:tab w:val="left" w:pos="1890"/>
        </w:tabs>
        <w:ind w:left="1170"/>
        <w:contextualSpacing/>
        <w:rPr>
          <w:rFonts w:ascii="Calibri" w:eastAsiaTheme="minorEastAsia" w:hAnsi="Calibri" w:cs="Calibri"/>
        </w:rPr>
      </w:pPr>
    </w:p>
    <w:p w14:paraId="7A2267F9" w14:textId="5F224938" w:rsidR="0093717F" w:rsidRPr="006C6124" w:rsidRDefault="0093717F">
      <w:pPr>
        <w:pStyle w:val="ListParagraph"/>
        <w:numPr>
          <w:ilvl w:val="0"/>
          <w:numId w:val="42"/>
        </w:numPr>
        <w:tabs>
          <w:tab w:val="left" w:pos="1800"/>
          <w:tab w:val="left" w:pos="1890"/>
        </w:tabs>
        <w:ind w:left="2160"/>
        <w:rPr>
          <w:rFonts w:ascii="Calibri" w:eastAsiaTheme="minorEastAsia" w:hAnsi="Calibri" w:cs="Calibri"/>
        </w:rPr>
      </w:pPr>
      <w:r w:rsidRPr="006C6124">
        <w:rPr>
          <w:rFonts w:ascii="Calibri" w:eastAsiaTheme="minorEastAsia" w:hAnsi="Calibri" w:cs="Calibri"/>
        </w:rPr>
        <w:lastRenderedPageBreak/>
        <w:t xml:space="preserve">Engaging fully with E1MN to develop and use relationships with long-term support </w:t>
      </w:r>
    </w:p>
    <w:p w14:paraId="1294CCE9" w14:textId="5CFD0DF2" w:rsidR="0093717F" w:rsidRPr="006C6124" w:rsidRDefault="008B6843" w:rsidP="00C310C6">
      <w:pPr>
        <w:tabs>
          <w:tab w:val="left" w:pos="1440"/>
          <w:tab w:val="left" w:pos="1890"/>
        </w:tabs>
        <w:ind w:left="1170"/>
        <w:contextualSpacing/>
        <w:rPr>
          <w:rFonts w:ascii="Calibri" w:eastAsiaTheme="minorEastAsia" w:hAnsi="Calibri" w:cs="Calibri"/>
        </w:rPr>
      </w:pPr>
      <w:r w:rsidRPr="006C6124">
        <w:rPr>
          <w:rFonts w:ascii="Calibri" w:eastAsiaTheme="minorEastAsia" w:hAnsi="Calibri" w:cs="Calibri"/>
        </w:rPr>
        <w:tab/>
      </w:r>
      <w:r w:rsidR="00C310C6">
        <w:rPr>
          <w:rFonts w:ascii="Calibri" w:eastAsiaTheme="minorEastAsia" w:hAnsi="Calibri" w:cs="Calibri"/>
        </w:rPr>
        <w:tab/>
      </w:r>
      <w:r w:rsidRPr="006C6124">
        <w:rPr>
          <w:rFonts w:ascii="Calibri" w:eastAsiaTheme="minorEastAsia" w:hAnsi="Calibri" w:cs="Calibri"/>
        </w:rPr>
        <w:tab/>
      </w:r>
      <w:r w:rsidR="0093717F" w:rsidRPr="006C6124">
        <w:rPr>
          <w:rFonts w:ascii="Calibri" w:eastAsiaTheme="minorEastAsia" w:hAnsi="Calibri" w:cs="Calibri"/>
        </w:rPr>
        <w:t>providers to accelerate customers transition to those supports.</w:t>
      </w:r>
    </w:p>
    <w:p w14:paraId="7185C79B"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344771A8"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33E006AF" w14:textId="677DC57A" w:rsidR="0093717F" w:rsidRPr="006C6124" w:rsidRDefault="0093717F">
      <w:pPr>
        <w:pStyle w:val="ListParagraph"/>
        <w:numPr>
          <w:ilvl w:val="0"/>
          <w:numId w:val="39"/>
        </w:numPr>
        <w:tabs>
          <w:tab w:val="left" w:pos="1800"/>
          <w:tab w:val="left" w:pos="1890"/>
        </w:tabs>
        <w:rPr>
          <w:rFonts w:ascii="Calibri" w:eastAsiaTheme="minorEastAsia" w:hAnsi="Calibri" w:cs="Calibri"/>
        </w:rPr>
      </w:pPr>
      <w:r w:rsidRPr="006C6124">
        <w:rPr>
          <w:rFonts w:ascii="Calibri" w:eastAsiaTheme="minorEastAsia" w:hAnsi="Calibri" w:cs="Calibri"/>
          <w:b/>
          <w:bCs/>
        </w:rPr>
        <w:t>Focus on Diversity, Equity, Inclusion, and Accessibility.</w:t>
      </w:r>
      <w:r w:rsidRPr="006C6124">
        <w:rPr>
          <w:rFonts w:ascii="Calibri" w:eastAsiaTheme="minorEastAsia" w:hAnsi="Calibri" w:cs="Calibri"/>
        </w:rPr>
        <w:t xml:space="preserve"> Create an agency that better meets the needs of the current and emerging workforce, including improving services to new Americans, underrepresented communities, and veterans.</w:t>
      </w:r>
      <w:r w:rsidR="00F8705C" w:rsidRPr="006C6124">
        <w:rPr>
          <w:rFonts w:ascii="Calibri" w:eastAsiaTheme="minorEastAsia" w:hAnsi="Calibri" w:cs="Calibri"/>
        </w:rPr>
        <w:t xml:space="preserve"> The basis for this goal/priority is SSB’s Evolve: VR Initiative. </w:t>
      </w:r>
    </w:p>
    <w:p w14:paraId="346D3A72"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5D67FD35" w14:textId="22242284" w:rsidR="0093717F" w:rsidRPr="006C6124" w:rsidRDefault="0093717F">
      <w:pPr>
        <w:pStyle w:val="ListParagraph"/>
        <w:numPr>
          <w:ilvl w:val="0"/>
          <w:numId w:val="52"/>
        </w:numPr>
        <w:tabs>
          <w:tab w:val="left" w:pos="1800"/>
          <w:tab w:val="left" w:pos="1890"/>
        </w:tabs>
        <w:rPr>
          <w:rFonts w:ascii="Calibri" w:eastAsiaTheme="minorEastAsia" w:hAnsi="Calibri" w:cs="Calibri"/>
        </w:rPr>
      </w:pPr>
      <w:r w:rsidRPr="006C6124">
        <w:rPr>
          <w:rFonts w:ascii="Calibri" w:eastAsiaTheme="minorEastAsia" w:hAnsi="Calibri" w:cs="Calibri"/>
        </w:rPr>
        <w:t>Develop new</w:t>
      </w:r>
      <w:r w:rsidR="00581B51">
        <w:rPr>
          <w:rFonts w:ascii="Calibri" w:eastAsiaTheme="minorEastAsia" w:hAnsi="Calibri" w:cs="Calibri"/>
        </w:rPr>
        <w:t>,</w:t>
      </w:r>
      <w:r w:rsidRPr="006C6124">
        <w:rPr>
          <w:rFonts w:ascii="Calibri" w:eastAsiaTheme="minorEastAsia" w:hAnsi="Calibri" w:cs="Calibri"/>
        </w:rPr>
        <w:t xml:space="preserve"> and nurture existing</w:t>
      </w:r>
      <w:r w:rsidR="00581B51">
        <w:rPr>
          <w:rFonts w:ascii="Calibri" w:eastAsiaTheme="minorEastAsia" w:hAnsi="Calibri" w:cs="Calibri"/>
        </w:rPr>
        <w:t>,</w:t>
      </w:r>
      <w:r w:rsidRPr="006C6124">
        <w:rPr>
          <w:rFonts w:ascii="Calibri" w:eastAsiaTheme="minorEastAsia" w:hAnsi="Calibri" w:cs="Calibri"/>
        </w:rPr>
        <w:t xml:space="preserve"> partnerships with entities that represent underserved groups, including:</w:t>
      </w:r>
    </w:p>
    <w:p w14:paraId="7969B344" w14:textId="77777777" w:rsidR="0093717F" w:rsidRPr="006C6124" w:rsidRDefault="0093717F" w:rsidP="0093717F">
      <w:pPr>
        <w:tabs>
          <w:tab w:val="left" w:pos="1800"/>
          <w:tab w:val="left" w:pos="1890"/>
        </w:tabs>
        <w:ind w:left="450"/>
        <w:contextualSpacing/>
        <w:rPr>
          <w:rFonts w:ascii="Calibri" w:eastAsiaTheme="minorEastAsia" w:hAnsi="Calibri" w:cs="Calibri"/>
        </w:rPr>
      </w:pPr>
      <w:r w:rsidRPr="006C6124">
        <w:rPr>
          <w:rFonts w:ascii="Calibri" w:eastAsiaTheme="minorEastAsia" w:hAnsi="Calibri" w:cs="Calibri"/>
        </w:rPr>
        <w:tab/>
      </w:r>
      <w:r w:rsidRPr="006C6124">
        <w:rPr>
          <w:rFonts w:ascii="Calibri" w:eastAsiaTheme="minorEastAsia" w:hAnsi="Calibri" w:cs="Calibri"/>
        </w:rPr>
        <w:tab/>
      </w:r>
    </w:p>
    <w:p w14:paraId="670F2FD0" w14:textId="77777777"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Organizations that serve veterans</w:t>
      </w:r>
    </w:p>
    <w:p w14:paraId="4CAA1EFF" w14:textId="77777777"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Communities of color</w:t>
      </w:r>
    </w:p>
    <w:p w14:paraId="3573EDB6" w14:textId="77777777"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English Language Learners</w:t>
      </w:r>
    </w:p>
    <w:p w14:paraId="3B732720" w14:textId="77777777"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Tribal communities</w:t>
      </w:r>
    </w:p>
    <w:p w14:paraId="4BB0BF74" w14:textId="77777777"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Individuals with severe and persistent mental illness</w:t>
      </w:r>
    </w:p>
    <w:p w14:paraId="56ADB442" w14:textId="78C84A83"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Justice involved</w:t>
      </w:r>
    </w:p>
    <w:p w14:paraId="60E93020" w14:textId="77777777"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Individuals with complex and significant disabilities</w:t>
      </w:r>
    </w:p>
    <w:p w14:paraId="6CE827E5" w14:textId="77777777" w:rsidR="0093717F" w:rsidRPr="006C6124" w:rsidRDefault="0093717F">
      <w:pPr>
        <w:numPr>
          <w:ilvl w:val="1"/>
          <w:numId w:val="5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Immigrants and refugees</w:t>
      </w:r>
      <w:r w:rsidRPr="006C6124">
        <w:rPr>
          <w:rFonts w:ascii="Calibri" w:eastAsiaTheme="minorEastAsia" w:hAnsi="Calibri" w:cs="Calibri"/>
        </w:rPr>
        <w:tab/>
      </w:r>
    </w:p>
    <w:p w14:paraId="214F6817" w14:textId="40B2068A" w:rsidR="0093717F" w:rsidRPr="006C6124" w:rsidRDefault="0093717F" w:rsidP="0093717F">
      <w:pPr>
        <w:tabs>
          <w:tab w:val="left" w:pos="1800"/>
          <w:tab w:val="left" w:pos="1890"/>
        </w:tabs>
        <w:ind w:left="450"/>
        <w:contextualSpacing/>
        <w:rPr>
          <w:rFonts w:ascii="Calibri" w:eastAsiaTheme="minorEastAsia" w:hAnsi="Calibri" w:cs="Calibri"/>
        </w:rPr>
      </w:pPr>
    </w:p>
    <w:p w14:paraId="08B1A6C4" w14:textId="77777777" w:rsidR="007E734A" w:rsidRPr="006C6124" w:rsidRDefault="007E734A" w:rsidP="0093717F">
      <w:pPr>
        <w:tabs>
          <w:tab w:val="left" w:pos="1800"/>
          <w:tab w:val="left" w:pos="1890"/>
        </w:tabs>
        <w:ind w:left="450"/>
        <w:contextualSpacing/>
        <w:rPr>
          <w:rFonts w:ascii="Calibri" w:eastAsiaTheme="minorEastAsia" w:hAnsi="Calibri" w:cs="Calibri"/>
        </w:rPr>
      </w:pPr>
    </w:p>
    <w:p w14:paraId="0E1C191C" w14:textId="5F2E4A49" w:rsidR="003021AC" w:rsidRPr="006C6124" w:rsidRDefault="002977E9">
      <w:pPr>
        <w:pStyle w:val="ListParagraph"/>
        <w:numPr>
          <w:ilvl w:val="0"/>
          <w:numId w:val="39"/>
        </w:numPr>
        <w:tabs>
          <w:tab w:val="left" w:pos="1800"/>
          <w:tab w:val="left" w:pos="1890"/>
        </w:tabs>
        <w:rPr>
          <w:rFonts w:ascii="Calibri" w:eastAsiaTheme="minorEastAsia" w:hAnsi="Calibri" w:cs="Calibri"/>
        </w:rPr>
      </w:pPr>
      <w:r w:rsidRPr="006C6124">
        <w:rPr>
          <w:rFonts w:ascii="Calibri" w:eastAsiaTheme="minorEastAsia" w:hAnsi="Calibri" w:cs="Calibri"/>
          <w:b/>
          <w:bCs/>
        </w:rPr>
        <w:t xml:space="preserve"> </w:t>
      </w:r>
      <w:r w:rsidR="0093717F" w:rsidRPr="006C6124">
        <w:rPr>
          <w:rFonts w:ascii="Calibri" w:eastAsiaTheme="minorEastAsia" w:hAnsi="Calibri" w:cs="Calibri"/>
          <w:b/>
          <w:bCs/>
        </w:rPr>
        <w:t>Marketing Work Ready Individuals to Employers</w:t>
      </w:r>
      <w:r w:rsidR="0093717F" w:rsidRPr="006C6124">
        <w:rPr>
          <w:rFonts w:ascii="Calibri" w:eastAsiaTheme="minorEastAsia" w:hAnsi="Calibri" w:cs="Calibri"/>
          <w:b/>
          <w:bCs/>
          <w:i/>
          <w:iCs/>
        </w:rPr>
        <w:t xml:space="preserve">. </w:t>
      </w:r>
      <w:r w:rsidR="0093717F" w:rsidRPr="006C6124">
        <w:rPr>
          <w:rFonts w:ascii="Calibri" w:eastAsiaTheme="minorEastAsia" w:hAnsi="Calibri" w:cs="Calibri"/>
        </w:rPr>
        <w:t>Identify and implement innovative and evidence-based practices</w:t>
      </w:r>
      <w:r w:rsidR="00137C43">
        <w:rPr>
          <w:rFonts w:ascii="Calibri" w:eastAsiaTheme="minorEastAsia" w:hAnsi="Calibri" w:cs="Calibri"/>
        </w:rPr>
        <w:t>,</w:t>
      </w:r>
      <w:r w:rsidR="0093717F" w:rsidRPr="006C6124">
        <w:rPr>
          <w:rFonts w:ascii="Calibri" w:eastAsiaTheme="minorEastAsia" w:hAnsi="Calibri" w:cs="Calibri"/>
        </w:rPr>
        <w:t xml:space="preserve"> and service-delivery approaches so that individuals with disabilities have the same opportunities in the labor market as everyone else. </w:t>
      </w:r>
      <w:r w:rsidR="003021AC" w:rsidRPr="006C6124">
        <w:rPr>
          <w:rFonts w:ascii="Calibri" w:eastAsiaTheme="minorEastAsia" w:hAnsi="Calibri" w:cs="Calibri"/>
        </w:rPr>
        <w:t xml:space="preserve">The basis for this goal/priority is SSB’s Evolve: VR Initiative. </w:t>
      </w:r>
    </w:p>
    <w:p w14:paraId="37E4B0CE"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5B5FAAC6" w14:textId="70E3C8DE" w:rsidR="0093717F" w:rsidRPr="006C6124" w:rsidRDefault="0093717F">
      <w:pPr>
        <w:pStyle w:val="ListParagraph"/>
        <w:numPr>
          <w:ilvl w:val="0"/>
          <w:numId w:val="54"/>
        </w:numPr>
        <w:tabs>
          <w:tab w:val="left" w:pos="1800"/>
          <w:tab w:val="left" w:pos="1890"/>
        </w:tabs>
        <w:ind w:left="1170"/>
        <w:rPr>
          <w:rFonts w:ascii="Calibri" w:eastAsiaTheme="minorEastAsia" w:hAnsi="Calibri" w:cs="Calibri"/>
        </w:rPr>
      </w:pPr>
      <w:r w:rsidRPr="006C6124">
        <w:rPr>
          <w:rFonts w:ascii="Calibri" w:eastAsiaTheme="minorEastAsia" w:hAnsi="Calibri" w:cs="Calibri"/>
        </w:rPr>
        <w:t xml:space="preserve">Utilize all available opportunities to encourage eligible employers to use the Employer Reasonable Accommodation Fund for potential and existing employees with disabilities. </w:t>
      </w:r>
    </w:p>
    <w:p w14:paraId="002742E7" w14:textId="77777777" w:rsidR="0093717F" w:rsidRPr="006C6124" w:rsidRDefault="0093717F" w:rsidP="00CD637A">
      <w:pPr>
        <w:tabs>
          <w:tab w:val="left" w:pos="1800"/>
          <w:tab w:val="left" w:pos="1890"/>
        </w:tabs>
        <w:contextualSpacing/>
        <w:rPr>
          <w:rFonts w:ascii="Calibri" w:eastAsiaTheme="minorEastAsia" w:hAnsi="Calibri" w:cs="Calibri"/>
        </w:rPr>
      </w:pPr>
    </w:p>
    <w:p w14:paraId="7D3E4AA4" w14:textId="5DCD61AA" w:rsidR="0093717F" w:rsidRPr="006C6124" w:rsidRDefault="0093717F">
      <w:pPr>
        <w:pStyle w:val="ListParagraph"/>
        <w:numPr>
          <w:ilvl w:val="0"/>
          <w:numId w:val="54"/>
        </w:numPr>
        <w:tabs>
          <w:tab w:val="left" w:pos="1800"/>
          <w:tab w:val="left" w:pos="1890"/>
        </w:tabs>
        <w:ind w:left="1170"/>
        <w:rPr>
          <w:rFonts w:ascii="Calibri" w:eastAsiaTheme="minorEastAsia" w:hAnsi="Calibri" w:cs="Calibri"/>
        </w:rPr>
      </w:pPr>
      <w:r w:rsidRPr="006C6124">
        <w:rPr>
          <w:rFonts w:ascii="Calibri" w:eastAsiaTheme="minorEastAsia" w:hAnsi="Calibri" w:cs="Calibri"/>
        </w:rPr>
        <w:t xml:space="preserve">Develop and launch a public outreach and engagement campaign using multiple modes of communication to broadcast to employers that hiring blind, visually impaired, and DeafBlind people is essential to solving their workforce </w:t>
      </w:r>
      <w:r w:rsidR="00633DBC" w:rsidRPr="006C6124">
        <w:rPr>
          <w:rFonts w:ascii="Calibri" w:eastAsiaTheme="minorEastAsia" w:hAnsi="Calibri" w:cs="Calibri"/>
        </w:rPr>
        <w:t>shortag</w:t>
      </w:r>
      <w:r w:rsidR="00633DBC">
        <w:rPr>
          <w:rFonts w:ascii="Calibri" w:eastAsiaTheme="minorEastAsia" w:hAnsi="Calibri" w:cs="Calibri"/>
        </w:rPr>
        <w:t>es</w:t>
      </w:r>
      <w:r w:rsidRPr="006C6124">
        <w:rPr>
          <w:rFonts w:ascii="Calibri" w:eastAsiaTheme="minorEastAsia" w:hAnsi="Calibri" w:cs="Calibri"/>
        </w:rPr>
        <w:t xml:space="preserve">. </w:t>
      </w:r>
    </w:p>
    <w:p w14:paraId="59C274A8" w14:textId="77777777" w:rsidR="0093717F" w:rsidRPr="006C6124" w:rsidRDefault="0093717F" w:rsidP="00CD637A">
      <w:pPr>
        <w:tabs>
          <w:tab w:val="left" w:pos="1800"/>
          <w:tab w:val="left" w:pos="1890"/>
        </w:tabs>
        <w:contextualSpacing/>
        <w:rPr>
          <w:rFonts w:ascii="Calibri" w:eastAsiaTheme="minorEastAsia" w:hAnsi="Calibri" w:cs="Calibri"/>
        </w:rPr>
      </w:pPr>
    </w:p>
    <w:p w14:paraId="14023BA8" w14:textId="77777777" w:rsidR="0093717F" w:rsidRPr="006C6124" w:rsidRDefault="0093717F">
      <w:pPr>
        <w:numPr>
          <w:ilvl w:val="0"/>
          <w:numId w:val="54"/>
        </w:numPr>
        <w:tabs>
          <w:tab w:val="left" w:pos="1800"/>
          <w:tab w:val="left" w:pos="1890"/>
        </w:tabs>
        <w:ind w:left="1170"/>
        <w:contextualSpacing/>
        <w:rPr>
          <w:rFonts w:ascii="Calibri" w:eastAsiaTheme="minorEastAsia" w:hAnsi="Calibri" w:cs="Calibri"/>
        </w:rPr>
      </w:pPr>
      <w:r w:rsidRPr="006C6124">
        <w:rPr>
          <w:rFonts w:ascii="Calibri" w:eastAsiaTheme="minorEastAsia" w:hAnsi="Calibri" w:cs="Calibri"/>
        </w:rPr>
        <w:t>Create a Rapid and Continuous Engagement framework so customers can begin receiving services quickly and sustain their momentum while they are engaged in services.  This framework may include:</w:t>
      </w:r>
    </w:p>
    <w:p w14:paraId="34B761B7"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7A2C8078" w14:textId="77777777" w:rsidR="0093717F" w:rsidRPr="006C6124" w:rsidRDefault="0093717F">
      <w:pPr>
        <w:numPr>
          <w:ilvl w:val="1"/>
          <w:numId w:val="4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 xml:space="preserve">Rapid Eligibility Model </w:t>
      </w:r>
    </w:p>
    <w:p w14:paraId="18497761" w14:textId="77777777" w:rsidR="0093717F" w:rsidRPr="006C6124" w:rsidRDefault="0093717F">
      <w:pPr>
        <w:numPr>
          <w:ilvl w:val="1"/>
          <w:numId w:val="4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Rapid Assessment Model</w:t>
      </w:r>
    </w:p>
    <w:p w14:paraId="55757A69" w14:textId="77777777" w:rsidR="0093717F" w:rsidRPr="006C6124" w:rsidRDefault="0093717F">
      <w:pPr>
        <w:numPr>
          <w:ilvl w:val="1"/>
          <w:numId w:val="4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Continuous Engagement Model</w:t>
      </w:r>
    </w:p>
    <w:p w14:paraId="16E5F480" w14:textId="77777777" w:rsidR="0093717F" w:rsidRPr="006C6124" w:rsidRDefault="0093717F">
      <w:pPr>
        <w:numPr>
          <w:ilvl w:val="1"/>
          <w:numId w:val="43"/>
        </w:numPr>
        <w:tabs>
          <w:tab w:val="left" w:pos="1800"/>
          <w:tab w:val="left" w:pos="1890"/>
        </w:tabs>
        <w:contextualSpacing/>
        <w:rPr>
          <w:rFonts w:ascii="Calibri" w:eastAsiaTheme="minorEastAsia" w:hAnsi="Calibri" w:cs="Calibri"/>
        </w:rPr>
      </w:pPr>
      <w:r w:rsidRPr="006C6124">
        <w:rPr>
          <w:rFonts w:ascii="Calibri" w:eastAsiaTheme="minorEastAsia" w:hAnsi="Calibri" w:cs="Calibri"/>
        </w:rPr>
        <w:t>Rapid Placement Model</w:t>
      </w:r>
    </w:p>
    <w:p w14:paraId="0EE18AA0" w14:textId="77777777" w:rsidR="0093717F" w:rsidRPr="006C6124" w:rsidRDefault="0093717F" w:rsidP="0093717F">
      <w:pPr>
        <w:tabs>
          <w:tab w:val="left" w:pos="1800"/>
          <w:tab w:val="left" w:pos="1890"/>
        </w:tabs>
        <w:ind w:left="450"/>
        <w:contextualSpacing/>
        <w:rPr>
          <w:rFonts w:ascii="Calibri" w:eastAsiaTheme="minorEastAsia" w:hAnsi="Calibri" w:cs="Calibri"/>
        </w:rPr>
      </w:pPr>
    </w:p>
    <w:p w14:paraId="12C35A36" w14:textId="6B688449" w:rsidR="0034563B" w:rsidRPr="006C6124" w:rsidRDefault="0034563B" w:rsidP="0034563B">
      <w:pPr>
        <w:tabs>
          <w:tab w:val="left" w:pos="1800"/>
          <w:tab w:val="left" w:pos="1890"/>
        </w:tabs>
        <w:ind w:left="450"/>
        <w:contextualSpacing/>
        <w:rPr>
          <w:rFonts w:ascii="Calibri" w:eastAsiaTheme="minorEastAsia" w:hAnsi="Calibri" w:cs="Calibri"/>
        </w:rPr>
      </w:pPr>
    </w:p>
    <w:p w14:paraId="5C5D9AF9" w14:textId="46E17889" w:rsidR="002F3473" w:rsidRDefault="002F3473" w:rsidP="002F3473">
      <w:r>
        <w:t>SSB</w:t>
      </w:r>
      <w:r>
        <w:rPr>
          <w:b/>
          <w:bCs/>
        </w:rPr>
        <w:t xml:space="preserve"> </w:t>
      </w:r>
      <w:r>
        <w:t xml:space="preserve">has determined it necessary to engage in activities to establish, develop, or improve facilities for community rehabilitation programs (CRPs) (hereinafter “establishment projects) in the State for the purpose of providing vocational rehabilitation (VR) services to applicants and eligible individuals, as well as pre-employment transition services to students with disabilities who are eligible or potentially eligible for the VR program. These </w:t>
      </w:r>
      <w:r w:rsidR="0052632A">
        <w:t xml:space="preserve">activities will be required to meet our </w:t>
      </w:r>
      <w:r w:rsidR="00F45CA2">
        <w:t>above-described</w:t>
      </w:r>
      <w:r w:rsidR="0052632A">
        <w:t xml:space="preserve"> goals and priorities.</w:t>
      </w:r>
    </w:p>
    <w:p w14:paraId="0DDA4923" w14:textId="77777777" w:rsidR="002F3473" w:rsidRDefault="002F3473" w:rsidP="002F3473"/>
    <w:p w14:paraId="0E0F212B" w14:textId="5D2EE2EE" w:rsidR="002F3473" w:rsidRDefault="002F3473" w:rsidP="002F3473">
      <w:r>
        <w:t xml:space="preserve">For example, due to an almost </w:t>
      </w:r>
      <w:r w:rsidR="00F45CA2">
        <w:t>25</w:t>
      </w:r>
      <w:r>
        <w:t xml:space="preserve">% decrease in adjustment to blindness service providers since COVID, which impacts achieving our goals and strategies, </w:t>
      </w:r>
      <w:r w:rsidR="00602831">
        <w:t>SSB</w:t>
      </w:r>
      <w:r>
        <w:t xml:space="preserve"> has been hiring their own in-house staff to provide some of those services. Specifically, we have hired two rehabilitation teachers, one for the VR program</w:t>
      </w:r>
      <w:r w:rsidR="00490B20">
        <w:t>,</w:t>
      </w:r>
      <w:r>
        <w:t xml:space="preserve"> and one for the Older Blind program. For that reason, infrastructure</w:t>
      </w:r>
      <w:r w:rsidR="00431C5D">
        <w:t xml:space="preserve"> improvements </w:t>
      </w:r>
      <w:r w:rsidR="00684964">
        <w:t>need to be completed, including a cafeteria remodel</w:t>
      </w:r>
      <w:r w:rsidR="00B011AA">
        <w:t xml:space="preserve"> into a rehabilitation teaching space</w:t>
      </w:r>
      <w:r w:rsidR="00684964">
        <w:t xml:space="preserve">, which will </w:t>
      </w:r>
      <w:r w:rsidR="0058448A">
        <w:t>provide</w:t>
      </w:r>
      <w:r w:rsidR="00684964">
        <w:t xml:space="preserve"> </w:t>
      </w:r>
      <w:r w:rsidR="00B011AA">
        <w:t>better availability to serve customers</w:t>
      </w:r>
      <w:r>
        <w:t xml:space="preserve">. This flexibility </w:t>
      </w:r>
      <w:r w:rsidR="007E0559">
        <w:t xml:space="preserve">will </w:t>
      </w:r>
      <w:r>
        <w:t xml:space="preserve">allow our customers to receive their services quickly and in a safe environment. </w:t>
      </w:r>
    </w:p>
    <w:p w14:paraId="188B72F6" w14:textId="77777777" w:rsidR="002F3473" w:rsidRDefault="002F3473" w:rsidP="002F3473"/>
    <w:p w14:paraId="757838DF" w14:textId="08A4E2E0" w:rsidR="002F3473" w:rsidRDefault="002F3473" w:rsidP="002F3473">
      <w:r>
        <w:t xml:space="preserve">In addition, as a result of the pandemic, a large shift was made toward a hybrid service delivery model. This means offering services through a variety of methods, including virtual. Many of our meetings and trainings with customers, community partners, and council members are either virtual or a combination of virtual and in-person. Our current infrastructure at our 2200 University headquarters does not allow for accessible hybrid meetings, which means our customers and partners do not have as much flexibility in their ability to choose how they receive their services. This </w:t>
      </w:r>
      <w:r w:rsidR="006E1125">
        <w:t>necessitates the</w:t>
      </w:r>
      <w:r>
        <w:t xml:space="preserve"> need to make improvements to our building to </w:t>
      </w:r>
      <w:r w:rsidR="00F23714">
        <w:t>provide better</w:t>
      </w:r>
      <w:r>
        <w:t xml:space="preserve"> flexibility in service delivery.</w:t>
      </w:r>
    </w:p>
    <w:p w14:paraId="543CDB63" w14:textId="77777777" w:rsidR="0034563B" w:rsidRPr="006C6124" w:rsidRDefault="0034563B" w:rsidP="00860BB6">
      <w:pPr>
        <w:tabs>
          <w:tab w:val="left" w:pos="1800"/>
          <w:tab w:val="left" w:pos="1890"/>
        </w:tabs>
        <w:contextualSpacing/>
        <w:rPr>
          <w:rFonts w:ascii="Calibri" w:eastAsiaTheme="minorEastAsia" w:hAnsi="Calibri" w:cs="Calibri"/>
        </w:rPr>
      </w:pPr>
    </w:p>
    <w:p w14:paraId="2BFF3FD4" w14:textId="77777777" w:rsidR="00D0706C" w:rsidRPr="006C6124" w:rsidRDefault="6ED3700E" w:rsidP="46DED6E2">
      <w:pPr>
        <w:spacing w:line="242" w:lineRule="auto"/>
        <w:rPr>
          <w:rFonts w:ascii="Calibri" w:eastAsiaTheme="minorEastAsia" w:hAnsi="Calibri" w:cs="Calibri"/>
        </w:rPr>
      </w:pPr>
      <w:r w:rsidRPr="46DED6E2">
        <w:rPr>
          <w:rFonts w:ascii="Calibri" w:eastAsiaTheme="minorEastAsia" w:hAnsi="Calibri" w:cs="Calibri"/>
          <w:b/>
          <w:bCs/>
          <w:u w:val="single"/>
        </w:rPr>
        <w:t>(d) Evaluation and Reports of Progress: VR and Supported Employment Goals.</w:t>
      </w:r>
      <w:r w:rsidRPr="46DED6E2">
        <w:rPr>
          <w:rFonts w:ascii="Calibri" w:eastAsiaTheme="minorEastAsia" w:hAnsi="Calibri" w:cs="Calibri"/>
        </w:rPr>
        <w:t xml:space="preserve"> For the most recently completed program year, provide an evaluation and report of progress for the goals or priorities, including progress on the strategies under each goal or priority, applicable to that program year. Sections 101(a)(15) and 101(a)(23) of the Rehabilitation Act require VR agencies to describe—</w:t>
      </w:r>
    </w:p>
    <w:p w14:paraId="7A406B86" w14:textId="77777777" w:rsidR="00D0706C" w:rsidRPr="006C6124" w:rsidRDefault="00D0706C" w:rsidP="46DED6E2">
      <w:pPr>
        <w:spacing w:line="242" w:lineRule="auto"/>
        <w:rPr>
          <w:rFonts w:ascii="Calibri" w:eastAsiaTheme="minorEastAsia" w:hAnsi="Calibri" w:cs="Calibri"/>
        </w:rPr>
      </w:pPr>
    </w:p>
    <w:p w14:paraId="1469E6C6" w14:textId="77777777" w:rsidR="00D0706C" w:rsidRPr="006C6124" w:rsidRDefault="6ED3700E">
      <w:pPr>
        <w:numPr>
          <w:ilvl w:val="0"/>
          <w:numId w:val="12"/>
        </w:numPr>
        <w:spacing w:after="5" w:line="242" w:lineRule="auto"/>
        <w:ind w:left="360" w:right="51"/>
        <w:contextualSpacing/>
        <w:rPr>
          <w:rFonts w:ascii="Calibri" w:eastAsiaTheme="minorEastAsia" w:hAnsi="Calibri" w:cs="Calibri"/>
        </w:rPr>
      </w:pPr>
      <w:r w:rsidRPr="46DED6E2">
        <w:rPr>
          <w:rFonts w:ascii="Calibri" w:eastAsiaTheme="minorEastAsia" w:hAnsi="Calibri" w:cs="Calibri"/>
        </w:rPr>
        <w:t>Progress in achieving the goals and priorities identified for the VR and Supported Employment Programs;</w:t>
      </w:r>
    </w:p>
    <w:p w14:paraId="3DC6ED68" w14:textId="77777777" w:rsidR="00D0706C" w:rsidRPr="006C6124" w:rsidRDefault="6ED3700E" w:rsidP="46DED6E2">
      <w:pPr>
        <w:spacing w:line="242" w:lineRule="auto"/>
        <w:ind w:left="360"/>
        <w:contextualSpacing/>
        <w:rPr>
          <w:rFonts w:ascii="Calibri" w:eastAsiaTheme="minorEastAsia" w:hAnsi="Calibri" w:cs="Calibri"/>
        </w:rPr>
      </w:pPr>
      <w:r w:rsidRPr="46DED6E2">
        <w:rPr>
          <w:rFonts w:ascii="Calibri" w:eastAsiaTheme="minorEastAsia" w:hAnsi="Calibri" w:cs="Calibri"/>
        </w:rPr>
        <w:t>[text box: List the goals/priorities and discuss the progress or completion of each goal/priority and related strategies]</w:t>
      </w:r>
    </w:p>
    <w:p w14:paraId="5AB23205" w14:textId="21668A8F" w:rsidR="46DED6E2" w:rsidRDefault="46DED6E2" w:rsidP="46DED6E2">
      <w:pPr>
        <w:ind w:left="360"/>
        <w:contextualSpacing/>
        <w:rPr>
          <w:rFonts w:ascii="Calibri" w:eastAsiaTheme="minorEastAsia" w:hAnsi="Calibri" w:cs="Calibri"/>
        </w:rPr>
      </w:pPr>
    </w:p>
    <w:p w14:paraId="41A23C5D" w14:textId="33AE8B66" w:rsidR="788180F7" w:rsidRDefault="788180F7">
      <w:r w:rsidRPr="46DED6E2">
        <w:rPr>
          <w:rFonts w:ascii="Calibri" w:eastAsia="Calibri" w:hAnsi="Calibri" w:cs="Calibri"/>
          <w:b/>
          <w:bCs/>
        </w:rPr>
        <w:t>2022 – 2023 Goals, Priorities, and Strategies</w:t>
      </w:r>
    </w:p>
    <w:p w14:paraId="7A08C6E6" w14:textId="49ECF512" w:rsidR="46DED6E2" w:rsidRDefault="46DED6E2" w:rsidP="46DED6E2">
      <w:pPr>
        <w:rPr>
          <w:rFonts w:ascii="Calibri" w:eastAsia="Calibri" w:hAnsi="Calibri" w:cs="Calibri"/>
          <w:b/>
          <w:bCs/>
        </w:rPr>
      </w:pPr>
    </w:p>
    <w:p w14:paraId="0887743A" w14:textId="667E76BB" w:rsidR="788180F7" w:rsidRPr="00C8757A" w:rsidRDefault="788180F7">
      <w:pPr>
        <w:pStyle w:val="ListParagraph"/>
        <w:numPr>
          <w:ilvl w:val="0"/>
          <w:numId w:val="10"/>
        </w:numPr>
        <w:ind w:left="360"/>
        <w:rPr>
          <w:rFonts w:ascii="Calibri" w:eastAsia="Calibri" w:hAnsi="Calibri" w:cs="Calibri"/>
          <w:b/>
          <w:bCs/>
        </w:rPr>
      </w:pPr>
      <w:r w:rsidRPr="00C8757A">
        <w:rPr>
          <w:rFonts w:ascii="Calibri" w:eastAsia="Calibri" w:hAnsi="Calibri" w:cs="Calibri"/>
          <w:b/>
          <w:bCs/>
          <w:u w:val="single"/>
        </w:rPr>
        <w:t>Priority: Competitive Integrated Employment</w:t>
      </w:r>
      <w:r w:rsidRPr="00C8757A">
        <w:rPr>
          <w:rFonts w:ascii="Calibri" w:eastAsia="Calibri" w:hAnsi="Calibri" w:cs="Calibri"/>
          <w:b/>
          <w:bCs/>
        </w:rPr>
        <w:t xml:space="preserve"> </w:t>
      </w:r>
    </w:p>
    <w:p w14:paraId="162BB348" w14:textId="0FC823D7" w:rsidR="46DED6E2" w:rsidRDefault="46DED6E2" w:rsidP="46DED6E2">
      <w:pPr>
        <w:tabs>
          <w:tab w:val="left" w:pos="841"/>
        </w:tabs>
        <w:spacing w:line="389" w:lineRule="auto"/>
        <w:rPr>
          <w:rFonts w:ascii="Calibri" w:eastAsia="Calibri" w:hAnsi="Calibri" w:cs="Calibri"/>
        </w:rPr>
      </w:pPr>
    </w:p>
    <w:p w14:paraId="606950F6" w14:textId="0716E483" w:rsidR="788180F7" w:rsidRDefault="788180F7" w:rsidP="46DED6E2">
      <w:pPr>
        <w:tabs>
          <w:tab w:val="left" w:pos="841"/>
        </w:tabs>
        <w:spacing w:line="389" w:lineRule="auto"/>
      </w:pPr>
      <w:r w:rsidRPr="46DED6E2">
        <w:rPr>
          <w:rFonts w:ascii="Calibri" w:eastAsia="Calibri" w:hAnsi="Calibri" w:cs="Calibri"/>
        </w:rPr>
        <w:t>Strategies:</w:t>
      </w:r>
    </w:p>
    <w:p w14:paraId="4F6932BC" w14:textId="05443C12" w:rsidR="788180F7" w:rsidRDefault="788180F7">
      <w:pPr>
        <w:pStyle w:val="ListParagraph"/>
        <w:numPr>
          <w:ilvl w:val="0"/>
          <w:numId w:val="9"/>
        </w:numPr>
        <w:rPr>
          <w:rFonts w:ascii="Calibri" w:eastAsia="Calibri" w:hAnsi="Calibri" w:cs="Calibri"/>
        </w:rPr>
      </w:pPr>
      <w:r w:rsidRPr="46DED6E2">
        <w:rPr>
          <w:rFonts w:ascii="Calibri" w:eastAsia="Calibri" w:hAnsi="Calibri" w:cs="Calibri"/>
        </w:rPr>
        <w:t>Implement a model for coordinating employer services with DEED Workforce Innovation and Opportunity Act (WIOA) partners, including:</w:t>
      </w:r>
    </w:p>
    <w:p w14:paraId="3A4FDD38" w14:textId="70FE9247" w:rsidR="46DED6E2" w:rsidRDefault="46DED6E2" w:rsidP="46DED6E2">
      <w:pPr>
        <w:rPr>
          <w:rFonts w:ascii="Calibri" w:eastAsia="Calibri" w:hAnsi="Calibri" w:cs="Calibri"/>
        </w:rPr>
      </w:pPr>
    </w:p>
    <w:p w14:paraId="5DA4D2CE" w14:textId="4E8F309B"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Title I- Adult/Dislocated Worker; Youth</w:t>
      </w:r>
    </w:p>
    <w:p w14:paraId="36D45CE1" w14:textId="3209FD77"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Title III- Job Seeker Services</w:t>
      </w:r>
    </w:p>
    <w:p w14:paraId="5777CD38" w14:textId="3E38A3DF"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Title IV- Vocational Rehabilitation Services</w:t>
      </w:r>
    </w:p>
    <w:p w14:paraId="1F9BC49C" w14:textId="3F7A290A"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SSB is working with DEED partners and stakeholders to develop a Client Relationship Management tool. Currently partners are determining the cost to use Minnesota IT for consulting and services and what funding they can commit. Once this is finalized</w:t>
      </w:r>
      <w:r w:rsidR="001C6422">
        <w:rPr>
          <w:rFonts w:ascii="Calibri" w:eastAsia="Calibri" w:hAnsi="Calibri" w:cs="Calibri"/>
        </w:rPr>
        <w:t>,</w:t>
      </w:r>
      <w:r w:rsidRPr="46DED6E2">
        <w:rPr>
          <w:rFonts w:ascii="Calibri" w:eastAsia="Calibri" w:hAnsi="Calibri" w:cs="Calibri"/>
        </w:rPr>
        <w:t xml:space="preserve"> the planning process will begin by identifying partner business and customer needs and how to assemble these into a cohesive product.</w:t>
      </w:r>
    </w:p>
    <w:p w14:paraId="2B884E33" w14:textId="7550C75E"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Monitor the Employer One Stop online virtual hub representing all partners and available services and determine any modifications and adjustments needed to ensure its effectiveness.</w:t>
      </w:r>
    </w:p>
    <w:p w14:paraId="5BAE2828" w14:textId="15A3C291"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Monitor the E1MN section of the Disability HUB website for DEED outreach and marketing and determine any modifications and adjustments needed to ensure its effectiveness.</w:t>
      </w:r>
    </w:p>
    <w:p w14:paraId="58A60C09" w14:textId="6A22896C" w:rsidR="788180F7" w:rsidRDefault="788180F7" w:rsidP="46DED6E2">
      <w:r w:rsidRPr="46DED6E2">
        <w:rPr>
          <w:rFonts w:ascii="Calibri" w:eastAsia="Calibri" w:hAnsi="Calibri" w:cs="Calibri"/>
        </w:rPr>
        <w:t xml:space="preserve"> </w:t>
      </w:r>
    </w:p>
    <w:p w14:paraId="228D1287" w14:textId="38911345"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Review: </w:t>
      </w:r>
    </w:p>
    <w:p w14:paraId="139DA440" w14:textId="24EE9E01" w:rsidR="788180F7" w:rsidRDefault="788180F7" w:rsidP="46DED6E2">
      <w:pPr>
        <w:rPr>
          <w:rFonts w:ascii="Calibri" w:eastAsia="Calibri" w:hAnsi="Calibri" w:cs="Calibri"/>
        </w:rPr>
      </w:pPr>
      <w:r w:rsidRPr="46DED6E2">
        <w:rPr>
          <w:rFonts w:ascii="Calibri" w:eastAsia="Calibri" w:hAnsi="Calibri" w:cs="Calibri"/>
        </w:rPr>
        <w:t>We have made considerable progress on designing a model for better, more coordinated employer services across our department.  For example, we now have regional meetings across DEED divisions related to serving businesses and connecting them with workforce services, including talent recruitment.</w:t>
      </w:r>
    </w:p>
    <w:p w14:paraId="4287A905" w14:textId="42345BE0" w:rsidR="788180F7" w:rsidRDefault="788180F7" w:rsidP="46DED6E2">
      <w:r w:rsidRPr="46DED6E2">
        <w:rPr>
          <w:rFonts w:ascii="Calibri" w:eastAsia="Calibri" w:hAnsi="Calibri" w:cs="Calibri"/>
        </w:rPr>
        <w:t xml:space="preserve"> </w:t>
      </w:r>
    </w:p>
    <w:p w14:paraId="1B61CDB9" w14:textId="33DA89CD" w:rsidR="788180F7" w:rsidRDefault="788180F7">
      <w:r w:rsidRPr="46DED6E2">
        <w:rPr>
          <w:rFonts w:ascii="Calibri" w:eastAsia="Calibri" w:hAnsi="Calibri" w:cs="Calibri"/>
        </w:rPr>
        <w:t>There has been</w:t>
      </w:r>
      <w:r w:rsidR="004A20DE">
        <w:rPr>
          <w:rFonts w:ascii="Calibri" w:eastAsia="Calibri" w:hAnsi="Calibri" w:cs="Calibri"/>
        </w:rPr>
        <w:t>,</w:t>
      </w:r>
      <w:r w:rsidRPr="46DED6E2">
        <w:rPr>
          <w:rFonts w:ascii="Calibri" w:eastAsia="Calibri" w:hAnsi="Calibri" w:cs="Calibri"/>
        </w:rPr>
        <w:t xml:space="preserve"> unfortunately</w:t>
      </w:r>
      <w:r w:rsidR="004A20DE">
        <w:rPr>
          <w:rFonts w:ascii="Calibri" w:eastAsia="Calibri" w:hAnsi="Calibri" w:cs="Calibri"/>
        </w:rPr>
        <w:t>,</w:t>
      </w:r>
      <w:r w:rsidRPr="46DED6E2">
        <w:rPr>
          <w:rFonts w:ascii="Calibri" w:eastAsia="Calibri" w:hAnsi="Calibri" w:cs="Calibri"/>
        </w:rPr>
        <w:t xml:space="preserve"> no progress on the Client Relationship Management (CRM) tool.  We </w:t>
      </w:r>
      <w:r w:rsidR="004D05F8">
        <w:rPr>
          <w:rFonts w:ascii="Calibri" w:eastAsia="Calibri" w:hAnsi="Calibri" w:cs="Calibri"/>
        </w:rPr>
        <w:t>were also</w:t>
      </w:r>
      <w:r w:rsidRPr="46DED6E2">
        <w:rPr>
          <w:rFonts w:ascii="Calibri" w:eastAsia="Calibri" w:hAnsi="Calibri" w:cs="Calibri"/>
        </w:rPr>
        <w:t xml:space="preserve"> not able to create the Employer OneStop hub as we envisioned, since the Department resources were instead put towards improving the CareerForceMN.com platform. However, we have identified a new avenue to accomplishing both items, which includes leveraging the new labor exchange system that is being designed.  </w:t>
      </w:r>
    </w:p>
    <w:p w14:paraId="1DD1BAEB" w14:textId="26F5E1C5" w:rsidR="788180F7" w:rsidRDefault="788180F7">
      <w:r w:rsidRPr="46DED6E2">
        <w:rPr>
          <w:rFonts w:ascii="Calibri" w:eastAsia="Calibri" w:hAnsi="Calibri" w:cs="Calibri"/>
        </w:rPr>
        <w:t xml:space="preserve"> </w:t>
      </w:r>
    </w:p>
    <w:p w14:paraId="7B029AF7" w14:textId="56CAAAB6" w:rsidR="788180F7" w:rsidRDefault="788180F7">
      <w:r w:rsidRPr="46DED6E2">
        <w:rPr>
          <w:rFonts w:ascii="Calibri" w:eastAsia="Calibri" w:hAnsi="Calibri" w:cs="Calibri"/>
        </w:rPr>
        <w:t xml:space="preserve">Several partners within DEED expressed interest in obtaining a CRM, such as SalesForce, to better track our contacts with businesses. A few divisions within DEED already had SalesForce, and other divisions did not see the benefit. While it has limits, it is a good tool for tracking the employer relationship side of our work. Instituting a new system across partners, </w:t>
      </w:r>
      <w:r w:rsidR="007461BB">
        <w:rPr>
          <w:rFonts w:ascii="Calibri" w:eastAsia="Calibri" w:hAnsi="Calibri" w:cs="Calibri"/>
        </w:rPr>
        <w:t>including</w:t>
      </w:r>
      <w:r w:rsidRPr="46DED6E2">
        <w:rPr>
          <w:rFonts w:ascii="Calibri" w:eastAsia="Calibri" w:hAnsi="Calibri" w:cs="Calibri"/>
        </w:rPr>
        <w:t xml:space="preserve"> funding agreements and joint policies, is a large-scale effort that requires consensus. While we had Commissioner’s Office support, we did not have consensus across all partners. We are undergoing a digital </w:t>
      </w:r>
      <w:r w:rsidRPr="46DED6E2">
        <w:rPr>
          <w:rFonts w:ascii="Calibri" w:eastAsia="Calibri" w:hAnsi="Calibri" w:cs="Calibri"/>
        </w:rPr>
        <w:lastRenderedPageBreak/>
        <w:t xml:space="preserve">transformation project, which includes a new labor exchange system, and there was fear a CRM would require dual entry. We are now determining if the new labor exchange, which will integrate with CareerForceMN.com, could meet our needs instead. We are confident that the digital transformation work within DEED will result in a system </w:t>
      </w:r>
      <w:r w:rsidR="0054237B">
        <w:rPr>
          <w:rFonts w:ascii="Calibri" w:eastAsia="Calibri" w:hAnsi="Calibri" w:cs="Calibri"/>
        </w:rPr>
        <w:t>which</w:t>
      </w:r>
      <w:r w:rsidR="0054237B" w:rsidRPr="46DED6E2">
        <w:rPr>
          <w:rFonts w:ascii="Calibri" w:eastAsia="Calibri" w:hAnsi="Calibri" w:cs="Calibri"/>
        </w:rPr>
        <w:t xml:space="preserve"> </w:t>
      </w:r>
      <w:r w:rsidRPr="46DED6E2">
        <w:rPr>
          <w:rFonts w:ascii="Calibri" w:eastAsia="Calibri" w:hAnsi="Calibri" w:cs="Calibri"/>
        </w:rPr>
        <w:t xml:space="preserve">will allow us to better engage with businesses and track those contacts. In addition, we believe that instead of creating a new system, </w:t>
      </w:r>
      <w:r w:rsidR="005D4CEC">
        <w:rPr>
          <w:rFonts w:ascii="Calibri" w:eastAsia="Calibri" w:hAnsi="Calibri" w:cs="Calibri"/>
        </w:rPr>
        <w:t>modifications could be made to</w:t>
      </w:r>
      <w:r w:rsidRPr="46DED6E2">
        <w:rPr>
          <w:rFonts w:ascii="Calibri" w:eastAsia="Calibri" w:hAnsi="Calibri" w:cs="Calibri"/>
        </w:rPr>
        <w:t xml:space="preserve"> our existing CareerForceMN.com, </w:t>
      </w:r>
      <w:r w:rsidR="00C075C3">
        <w:rPr>
          <w:rFonts w:ascii="Calibri" w:eastAsia="Calibri" w:hAnsi="Calibri" w:cs="Calibri"/>
        </w:rPr>
        <w:t xml:space="preserve"> and </w:t>
      </w:r>
      <w:r w:rsidRPr="46DED6E2">
        <w:rPr>
          <w:rFonts w:ascii="Calibri" w:eastAsia="Calibri" w:hAnsi="Calibri" w:cs="Calibri"/>
        </w:rPr>
        <w:t>will act as the hub we envisioned. SSB is on the steering committee for this entire project, which allows us provide input and share feedback.</w:t>
      </w:r>
    </w:p>
    <w:p w14:paraId="11276657" w14:textId="7725C30D" w:rsidR="788180F7" w:rsidRDefault="788180F7">
      <w:r w:rsidRPr="46DED6E2">
        <w:rPr>
          <w:rFonts w:ascii="Calibri" w:eastAsia="Calibri" w:hAnsi="Calibri" w:cs="Calibri"/>
        </w:rPr>
        <w:t xml:space="preserve"> </w:t>
      </w:r>
    </w:p>
    <w:p w14:paraId="5694F17C" w14:textId="0E3ADD84" w:rsidR="788180F7" w:rsidRDefault="788180F7">
      <w:r w:rsidRPr="46DED6E2">
        <w:rPr>
          <w:rFonts w:ascii="Calibri" w:eastAsia="Calibri" w:hAnsi="Calibri" w:cs="Calibri"/>
          <w:color w:val="000000" w:themeColor="text1"/>
        </w:rPr>
        <w:t xml:space="preserve">Under the E1MN initiative with the Departments of Education and Human Services, a process map was developed called the </w:t>
      </w:r>
      <w:hyperlink r:id="rId11">
        <w:r w:rsidRPr="46DED6E2">
          <w:rPr>
            <w:rStyle w:val="Hyperlink"/>
            <w:rFonts w:ascii="Calibri" w:eastAsia="Calibri" w:hAnsi="Calibri" w:cs="Calibri"/>
          </w:rPr>
          <w:t>Engage, Plan, Find, Keep</w:t>
        </w:r>
      </w:hyperlink>
      <w:r w:rsidRPr="46DED6E2">
        <w:rPr>
          <w:rFonts w:ascii="Calibri" w:eastAsia="Calibri" w:hAnsi="Calibri" w:cs="Calibri"/>
          <w:color w:val="000000" w:themeColor="text1"/>
        </w:rPr>
        <w:t xml:space="preserve"> framework, which clarifies roles and determines funding of services for those on Medicaid waivers. </w:t>
      </w:r>
      <w:hyperlink r:id="rId12">
        <w:r w:rsidRPr="46DED6E2">
          <w:rPr>
            <w:rStyle w:val="Hyperlink"/>
            <w:rFonts w:ascii="Calibri" w:eastAsia="Calibri" w:hAnsi="Calibri" w:cs="Calibri"/>
          </w:rPr>
          <w:t>E1MN Training</w:t>
        </w:r>
      </w:hyperlink>
      <w:r w:rsidRPr="46DED6E2">
        <w:rPr>
          <w:rFonts w:ascii="Calibri" w:eastAsia="Calibri" w:hAnsi="Calibri" w:cs="Calibri"/>
          <w:color w:val="000000" w:themeColor="text1"/>
        </w:rPr>
        <w:t xml:space="preserve"> was launched in 2023 to support the E1MN referral and funding decisions for all roles. The Disability Hub Work Toolkit has a section on </w:t>
      </w:r>
      <w:hyperlink r:id="rId13">
        <w:r w:rsidRPr="46DED6E2">
          <w:rPr>
            <w:rStyle w:val="Hyperlink"/>
            <w:rFonts w:ascii="Calibri" w:eastAsia="Calibri" w:hAnsi="Calibri" w:cs="Calibri"/>
          </w:rPr>
          <w:t>Supporting People on Waivers</w:t>
        </w:r>
      </w:hyperlink>
      <w:r w:rsidRPr="46DED6E2">
        <w:rPr>
          <w:rFonts w:ascii="Calibri" w:eastAsia="Calibri" w:hAnsi="Calibri" w:cs="Calibri"/>
          <w:color w:val="000000" w:themeColor="text1"/>
        </w:rPr>
        <w:t xml:space="preserve"> that provides tools and resources to support understanding on the Engage, Plan, Find, Keep framework. The Disability Hub is a premiere website site that is constantly being updated and refreshed. This specific strategy has been successfully completed. </w:t>
      </w:r>
    </w:p>
    <w:p w14:paraId="5D0D4B6A" w14:textId="019F4EC0" w:rsidR="788180F7" w:rsidRDefault="788180F7">
      <w:r w:rsidRPr="46DED6E2">
        <w:rPr>
          <w:rFonts w:ascii="Calibri" w:eastAsia="Calibri" w:hAnsi="Calibri" w:cs="Calibri"/>
          <w:color w:val="000000" w:themeColor="text1"/>
        </w:rPr>
        <w:t xml:space="preserve"> </w:t>
      </w:r>
    </w:p>
    <w:p w14:paraId="2E1100CF" w14:textId="26994C02" w:rsidR="788180F7" w:rsidRDefault="788180F7" w:rsidP="46DED6E2"/>
    <w:p w14:paraId="5185B578" w14:textId="0A702D27" w:rsidR="788180F7" w:rsidRDefault="788180F7">
      <w:pPr>
        <w:pStyle w:val="ListParagraph"/>
        <w:numPr>
          <w:ilvl w:val="0"/>
          <w:numId w:val="9"/>
        </w:numPr>
        <w:rPr>
          <w:rFonts w:ascii="Calibri" w:eastAsia="Calibri" w:hAnsi="Calibri" w:cs="Calibri"/>
        </w:rPr>
      </w:pPr>
      <w:r w:rsidRPr="46DED6E2">
        <w:rPr>
          <w:rFonts w:ascii="Calibri" w:eastAsia="Calibri" w:hAnsi="Calibri" w:cs="Calibri"/>
        </w:rPr>
        <w:t>Implement ongoing training, tracking, and oversight of Measurable Skills Gains (MSG) and credential attainment of students to reach negotiated targets.</w:t>
      </w:r>
    </w:p>
    <w:p w14:paraId="65AD5019" w14:textId="1920DFE0" w:rsidR="46DED6E2" w:rsidRDefault="46DED6E2" w:rsidP="46DED6E2">
      <w:pPr>
        <w:rPr>
          <w:rFonts w:ascii="Calibri" w:eastAsia="Calibri" w:hAnsi="Calibri" w:cs="Calibri"/>
        </w:rPr>
      </w:pPr>
    </w:p>
    <w:p w14:paraId="5141C8B8" w14:textId="14CF48FF"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Monitor staff tracking of their customers and input of appropriate documentation by in depth review of staff input of customers MSG’s and credentials between enrollment and disenrollment.</w:t>
      </w:r>
    </w:p>
    <w:p w14:paraId="76B794ED" w14:textId="3A43B39C"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Ensure accuracy in reporting and validity of the MSGs and credentials claimed.</w:t>
      </w:r>
    </w:p>
    <w:p w14:paraId="66141B24" w14:textId="3C7789B6"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Train staff as needed regarding data fixes necessary for these measures.</w:t>
      </w:r>
    </w:p>
    <w:p w14:paraId="17A6ED38" w14:textId="10E98124" w:rsidR="788180F7" w:rsidRDefault="788180F7" w:rsidP="46DED6E2">
      <w:r w:rsidRPr="46DED6E2">
        <w:rPr>
          <w:rFonts w:ascii="Calibri" w:eastAsia="Calibri" w:hAnsi="Calibri" w:cs="Calibri"/>
        </w:rPr>
        <w:t xml:space="preserve"> </w:t>
      </w:r>
    </w:p>
    <w:p w14:paraId="728F1658" w14:textId="57AA9406" w:rsidR="788180F7" w:rsidRDefault="788180F7" w:rsidP="46DED6E2">
      <w:r w:rsidRPr="46DED6E2">
        <w:rPr>
          <w:rFonts w:ascii="Calibri" w:eastAsia="Calibri" w:hAnsi="Calibri" w:cs="Calibri"/>
        </w:rPr>
        <w:t xml:space="preserve">Review: </w:t>
      </w:r>
    </w:p>
    <w:p w14:paraId="4B11A081" w14:textId="685698C8" w:rsidR="788180F7" w:rsidRDefault="788180F7" w:rsidP="46DED6E2">
      <w:pPr>
        <w:spacing w:line="259" w:lineRule="auto"/>
        <w:rPr>
          <w:rFonts w:ascii="Calibri" w:eastAsia="Calibri" w:hAnsi="Calibri" w:cs="Calibri"/>
        </w:rPr>
      </w:pPr>
      <w:r w:rsidRPr="46DED6E2">
        <w:rPr>
          <w:rFonts w:ascii="Calibri" w:eastAsia="Calibri" w:hAnsi="Calibri" w:cs="Calibri"/>
        </w:rPr>
        <w:t>While we have made considerable progress as it relates to reporting on</w:t>
      </w:r>
      <w:r w:rsidR="00FE628B">
        <w:rPr>
          <w:rFonts w:ascii="Calibri" w:eastAsia="Calibri" w:hAnsi="Calibri" w:cs="Calibri"/>
        </w:rPr>
        <w:t>,</w:t>
      </w:r>
      <w:r w:rsidRPr="46DED6E2">
        <w:rPr>
          <w:rFonts w:ascii="Calibri" w:eastAsia="Calibri" w:hAnsi="Calibri" w:cs="Calibri"/>
        </w:rPr>
        <w:t xml:space="preserve"> and tracking</w:t>
      </w:r>
      <w:r w:rsidR="00FE628B">
        <w:rPr>
          <w:rFonts w:ascii="Calibri" w:eastAsia="Calibri" w:hAnsi="Calibri" w:cs="Calibri"/>
        </w:rPr>
        <w:t xml:space="preserve"> of, </w:t>
      </w:r>
      <w:r w:rsidRPr="46DED6E2">
        <w:rPr>
          <w:rFonts w:ascii="Calibri" w:eastAsia="Calibri" w:hAnsi="Calibri" w:cs="Calibri"/>
        </w:rPr>
        <w:t xml:space="preserve"> MSGs and credential attainment, we still have a long way to go. Based on recent data reports from RSA, SSB is below the mean when it comes to our performance rates for these two measures. We attribute this primarily to incomplete and inaccurate tracking by staff in our case management system. </w:t>
      </w:r>
    </w:p>
    <w:p w14:paraId="26193CF7" w14:textId="21D16169" w:rsidR="46DED6E2" w:rsidRDefault="46DED6E2" w:rsidP="46DED6E2">
      <w:pPr>
        <w:spacing w:line="259" w:lineRule="auto"/>
        <w:rPr>
          <w:rFonts w:ascii="Calibri" w:eastAsia="Calibri" w:hAnsi="Calibri" w:cs="Calibri"/>
        </w:rPr>
      </w:pPr>
    </w:p>
    <w:p w14:paraId="2347329C" w14:textId="68511C2D"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We have employed several strategies to mitigate this. Our Quality Assurance Specialist </w:t>
      </w:r>
      <w:r w:rsidR="00865009">
        <w:rPr>
          <w:rFonts w:ascii="Calibri" w:eastAsia="Calibri" w:hAnsi="Calibri" w:cs="Calibri"/>
        </w:rPr>
        <w:t>conducts</w:t>
      </w:r>
      <w:r w:rsidR="00865009" w:rsidRPr="46DED6E2">
        <w:rPr>
          <w:rFonts w:ascii="Calibri" w:eastAsia="Calibri" w:hAnsi="Calibri" w:cs="Calibri"/>
        </w:rPr>
        <w:t xml:space="preserve"> </w:t>
      </w:r>
      <w:r w:rsidRPr="46DED6E2">
        <w:rPr>
          <w:rFonts w:ascii="Calibri" w:eastAsia="Calibri" w:hAnsi="Calibri" w:cs="Calibri"/>
        </w:rPr>
        <w:t>in depth reviews of the MSGs and credentials claimed after each semester, while also flagging staff of potential MSGs that have not yet been claimed. Additionally, multiple reminders are sent as MSG deadlines approach. These reminders include instruction on what needs to be collected as well as links to previous trainings. Throughout the year, additional training is provided to counselors on MSGs and credentials. Our case management system has several reports available to staff that assist in identifying potential MSGs and credentials. However, while these strategies have helped us double our MSG rate from the previous program year, they are not fully resolving the issues we have. This coming year, we will be looking at the following activities:</w:t>
      </w:r>
    </w:p>
    <w:p w14:paraId="702F2E4C" w14:textId="6F8119F6" w:rsidR="46DED6E2" w:rsidRDefault="46DED6E2" w:rsidP="46DED6E2">
      <w:pPr>
        <w:spacing w:line="259" w:lineRule="auto"/>
        <w:rPr>
          <w:rFonts w:ascii="Calibri" w:eastAsia="Calibri" w:hAnsi="Calibri" w:cs="Calibri"/>
        </w:rPr>
      </w:pPr>
    </w:p>
    <w:p w14:paraId="3718ED52" w14:textId="5A64E68C" w:rsidR="788180F7" w:rsidRDefault="788180F7">
      <w:pPr>
        <w:pStyle w:val="ListParagraph"/>
        <w:numPr>
          <w:ilvl w:val="0"/>
          <w:numId w:val="8"/>
        </w:numPr>
        <w:rPr>
          <w:rFonts w:ascii="Calibri" w:eastAsia="Calibri" w:hAnsi="Calibri" w:cs="Calibri"/>
        </w:rPr>
      </w:pPr>
      <w:r w:rsidRPr="46DED6E2">
        <w:rPr>
          <w:rFonts w:ascii="Calibri" w:eastAsia="Calibri" w:hAnsi="Calibri" w:cs="Calibri"/>
        </w:rPr>
        <w:t>Full system integration between our case management system and the National Student Clearinghouse (NSC). We already have access to the NSC data</w:t>
      </w:r>
      <w:r w:rsidR="000F4F67">
        <w:rPr>
          <w:rFonts w:ascii="Calibri" w:eastAsia="Calibri" w:hAnsi="Calibri" w:cs="Calibri"/>
        </w:rPr>
        <w:t>.</w:t>
      </w:r>
      <w:r w:rsidRPr="46DED6E2">
        <w:rPr>
          <w:rFonts w:ascii="Calibri" w:eastAsia="Calibri" w:hAnsi="Calibri" w:cs="Calibri"/>
        </w:rPr>
        <w:t xml:space="preserve"> </w:t>
      </w:r>
      <w:r w:rsidR="000F4F67">
        <w:rPr>
          <w:rFonts w:ascii="Calibri" w:eastAsia="Calibri" w:hAnsi="Calibri" w:cs="Calibri"/>
        </w:rPr>
        <w:t>H</w:t>
      </w:r>
      <w:r w:rsidR="000F4F67" w:rsidRPr="46DED6E2">
        <w:rPr>
          <w:rFonts w:ascii="Calibri" w:eastAsia="Calibri" w:hAnsi="Calibri" w:cs="Calibri"/>
        </w:rPr>
        <w:t>owever</w:t>
      </w:r>
      <w:r w:rsidRPr="46DED6E2">
        <w:rPr>
          <w:rFonts w:ascii="Calibri" w:eastAsia="Calibri" w:hAnsi="Calibri" w:cs="Calibri"/>
        </w:rPr>
        <w:t>, it is a manual process and by integrating the data into Workforce One, we can make it automated.</w:t>
      </w:r>
    </w:p>
    <w:p w14:paraId="148A5E98" w14:textId="72246C7D" w:rsidR="46DED6E2" w:rsidRDefault="46DED6E2" w:rsidP="46DED6E2">
      <w:pPr>
        <w:rPr>
          <w:rFonts w:ascii="Calibri" w:eastAsia="Calibri" w:hAnsi="Calibri" w:cs="Calibri"/>
        </w:rPr>
      </w:pPr>
    </w:p>
    <w:p w14:paraId="0C41C797" w14:textId="5DDFCF2D" w:rsidR="788180F7" w:rsidRDefault="788180F7">
      <w:pPr>
        <w:pStyle w:val="ListParagraph"/>
        <w:numPr>
          <w:ilvl w:val="0"/>
          <w:numId w:val="8"/>
        </w:numPr>
        <w:rPr>
          <w:rFonts w:ascii="Calibri" w:eastAsia="Calibri" w:hAnsi="Calibri" w:cs="Calibri"/>
        </w:rPr>
      </w:pPr>
      <w:r w:rsidRPr="46DED6E2">
        <w:rPr>
          <w:rFonts w:ascii="Calibri" w:eastAsia="Calibri" w:hAnsi="Calibri" w:cs="Calibri"/>
        </w:rPr>
        <w:t xml:space="preserve">Hiring an administrative support specialist to assist the quality assurance specialist in case reviews, which will include fixing data entry errors in the system and tracking down supporting documentation. We will still be communicating those errors to counselors, but we know many of the errors are occurring because counselors are incredibly busy managing their caseloads. This is one small thing we can do to reduce administrative burden and increase our accuracy in reporting. </w:t>
      </w:r>
    </w:p>
    <w:p w14:paraId="198670E5" w14:textId="10711898" w:rsidR="46DED6E2" w:rsidRDefault="46DED6E2" w:rsidP="46DED6E2">
      <w:pPr>
        <w:rPr>
          <w:rFonts w:ascii="Calibri" w:eastAsia="Calibri" w:hAnsi="Calibri" w:cs="Calibri"/>
        </w:rPr>
      </w:pPr>
    </w:p>
    <w:p w14:paraId="2C11706A" w14:textId="144FC4A1" w:rsidR="788180F7" w:rsidRDefault="788180F7">
      <w:pPr>
        <w:pStyle w:val="ListParagraph"/>
        <w:numPr>
          <w:ilvl w:val="0"/>
          <w:numId w:val="9"/>
        </w:numPr>
        <w:rPr>
          <w:rFonts w:ascii="Calibri" w:eastAsia="Calibri" w:hAnsi="Calibri" w:cs="Calibri"/>
        </w:rPr>
      </w:pPr>
      <w:r w:rsidRPr="46DED6E2">
        <w:rPr>
          <w:rFonts w:ascii="Calibri" w:eastAsia="Calibri" w:hAnsi="Calibri" w:cs="Calibri"/>
        </w:rPr>
        <w:t xml:space="preserve">In coordination with the Advisory Task Force on State Employment and Retention of Employees with Disabilities, develop and implement methods for the hiring and retention of blind, visually impaired, and </w:t>
      </w:r>
      <w:r w:rsidR="0099473B">
        <w:rPr>
          <w:rFonts w:ascii="Calibri" w:eastAsia="Calibri" w:hAnsi="Calibri" w:cs="Calibri"/>
        </w:rPr>
        <w:t>D</w:t>
      </w:r>
      <w:r w:rsidR="0099473B" w:rsidRPr="46DED6E2">
        <w:rPr>
          <w:rFonts w:ascii="Calibri" w:eastAsia="Calibri" w:hAnsi="Calibri" w:cs="Calibri"/>
        </w:rPr>
        <w:t>eaf</w:t>
      </w:r>
      <w:r w:rsidR="0099473B">
        <w:rPr>
          <w:rFonts w:ascii="Calibri" w:eastAsia="Calibri" w:hAnsi="Calibri" w:cs="Calibri"/>
        </w:rPr>
        <w:t>B</w:t>
      </w:r>
      <w:r w:rsidR="0099473B" w:rsidRPr="46DED6E2">
        <w:rPr>
          <w:rFonts w:ascii="Calibri" w:eastAsia="Calibri" w:hAnsi="Calibri" w:cs="Calibri"/>
        </w:rPr>
        <w:t xml:space="preserve">lind </w:t>
      </w:r>
      <w:r w:rsidRPr="46DED6E2">
        <w:rPr>
          <w:rFonts w:ascii="Calibri" w:eastAsia="Calibri" w:hAnsi="Calibri" w:cs="Calibri"/>
        </w:rPr>
        <w:t>customers into state government including using Connect 700 and Supported Worker programs.</w:t>
      </w:r>
    </w:p>
    <w:p w14:paraId="7E56DD0D" w14:textId="59EB2F35" w:rsidR="46DED6E2" w:rsidRDefault="46DED6E2" w:rsidP="46DED6E2">
      <w:pPr>
        <w:rPr>
          <w:rFonts w:ascii="Calibri" w:eastAsia="Calibri" w:hAnsi="Calibri" w:cs="Calibri"/>
        </w:rPr>
      </w:pPr>
    </w:p>
    <w:p w14:paraId="452AADD5" w14:textId="661FFA25"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lastRenderedPageBreak/>
        <w:t>Monitor the recommendation document submitted by the Advisory Taskforce to the Legislative subcommittee. Recommendations included items and proposed statutory changes that will specifically support the hiring and retention of blind, visually impaired, and DeafBlind customers, including:</w:t>
      </w:r>
    </w:p>
    <w:p w14:paraId="1BD77A42" w14:textId="693FC328"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A requirement for all technology and digital content to be accessible and provided in a timely manner;</w:t>
      </w:r>
    </w:p>
    <w:p w14:paraId="550D50F2" w14:textId="5FF4BC44"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Job posting language to be nondiscriminatory (including not requiring a driver’s license when one is not actually needed);</w:t>
      </w:r>
    </w:p>
    <w:p w14:paraId="2C06AAF3" w14:textId="1B68AC9D"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Hiring managers are made aware of the state Accommodation Fund;</w:t>
      </w:r>
    </w:p>
    <w:p w14:paraId="7565B1A0" w14:textId="7B8E5D8A"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Reasonable accommodations are provided to allow full participation;</w:t>
      </w:r>
    </w:p>
    <w:p w14:paraId="7F822EA7" w14:textId="23B3A544"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State Services for the Blind and Vocational Rehabilitation Services must be consulted when it comes to any updates or changes to the Connect 700 policy;</w:t>
      </w:r>
    </w:p>
    <w:p w14:paraId="64D1DE1D" w14:textId="0A0E390F" w:rsidR="788180F7" w:rsidRDefault="788180F7">
      <w:pPr>
        <w:pStyle w:val="ListParagraph"/>
        <w:numPr>
          <w:ilvl w:val="1"/>
          <w:numId w:val="9"/>
        </w:numPr>
        <w:rPr>
          <w:rFonts w:ascii="Calibri" w:eastAsia="Calibri" w:hAnsi="Calibri" w:cs="Calibri"/>
        </w:rPr>
      </w:pPr>
      <w:r w:rsidRPr="46DED6E2">
        <w:rPr>
          <w:rFonts w:ascii="Calibri" w:eastAsia="Calibri" w:hAnsi="Calibri" w:cs="Calibri"/>
        </w:rPr>
        <w:t>Training of staff on inclusive environments, digital accessibility standards, and the Americans with Disabilities Act.</w:t>
      </w:r>
    </w:p>
    <w:p w14:paraId="37C3D806" w14:textId="26B8796E" w:rsidR="46DED6E2" w:rsidRDefault="46DED6E2" w:rsidP="46DED6E2">
      <w:pPr>
        <w:rPr>
          <w:rFonts w:ascii="Calibri" w:eastAsia="Calibri" w:hAnsi="Calibri" w:cs="Calibri"/>
        </w:rPr>
      </w:pPr>
    </w:p>
    <w:p w14:paraId="365E0960" w14:textId="28409041" w:rsidR="788180F7" w:rsidRDefault="788180F7" w:rsidP="46DED6E2">
      <w:pPr>
        <w:spacing w:line="259" w:lineRule="auto"/>
      </w:pPr>
      <w:r w:rsidRPr="46DED6E2">
        <w:rPr>
          <w:rFonts w:ascii="Calibri" w:eastAsia="Calibri" w:hAnsi="Calibri" w:cs="Calibri"/>
        </w:rPr>
        <w:t>State Services for the Blind will continue to work with Minnesota Management and Budget to ensure these recommendations are carried out.</w:t>
      </w:r>
    </w:p>
    <w:p w14:paraId="51E3378A" w14:textId="09A76178" w:rsidR="46DED6E2" w:rsidRDefault="46DED6E2" w:rsidP="46DED6E2">
      <w:pPr>
        <w:spacing w:line="259" w:lineRule="auto"/>
        <w:rPr>
          <w:rFonts w:ascii="Calibri" w:eastAsia="Calibri" w:hAnsi="Calibri" w:cs="Calibri"/>
        </w:rPr>
      </w:pPr>
    </w:p>
    <w:p w14:paraId="61EF524A" w14:textId="17E766A4" w:rsidR="788180F7" w:rsidRDefault="788180F7" w:rsidP="46DED6E2">
      <w:pPr>
        <w:rPr>
          <w:rFonts w:ascii="Calibri" w:eastAsia="Calibri" w:hAnsi="Calibri" w:cs="Calibri"/>
        </w:rPr>
      </w:pPr>
      <w:r w:rsidRPr="46DED6E2">
        <w:rPr>
          <w:rFonts w:ascii="Calibri" w:eastAsia="Calibri" w:hAnsi="Calibri" w:cs="Calibri"/>
        </w:rPr>
        <w:t xml:space="preserve">Review: </w:t>
      </w:r>
    </w:p>
    <w:p w14:paraId="7AFF8DD0" w14:textId="5ED26653" w:rsidR="788180F7" w:rsidRDefault="788180F7" w:rsidP="46DED6E2">
      <w:r w:rsidRPr="46DED6E2">
        <w:rPr>
          <w:rFonts w:ascii="Calibri" w:eastAsia="Calibri" w:hAnsi="Calibri" w:cs="Calibri"/>
        </w:rPr>
        <w:t>All strategies in this area are considered complete. This past Legislative session put all the Advisory Taskforce recommendations into the applicable statutes, which includes:</w:t>
      </w:r>
    </w:p>
    <w:p w14:paraId="028C647E" w14:textId="27FC7637" w:rsidR="788180F7" w:rsidRDefault="788180F7">
      <w:pPr>
        <w:pStyle w:val="ListParagraph"/>
        <w:numPr>
          <w:ilvl w:val="0"/>
          <w:numId w:val="7"/>
        </w:numPr>
        <w:rPr>
          <w:rFonts w:ascii="Calibri" w:eastAsia="Calibri" w:hAnsi="Calibri" w:cs="Calibri"/>
        </w:rPr>
      </w:pPr>
      <w:r w:rsidRPr="46DED6E2">
        <w:rPr>
          <w:rFonts w:ascii="Calibri" w:eastAsia="Calibri" w:hAnsi="Calibri" w:cs="Calibri"/>
        </w:rPr>
        <w:t>Strengthening state accessibility requirements</w:t>
      </w:r>
    </w:p>
    <w:p w14:paraId="79A020B9" w14:textId="34059237" w:rsidR="788180F7" w:rsidRDefault="00F060DF">
      <w:pPr>
        <w:pStyle w:val="ListParagraph"/>
        <w:numPr>
          <w:ilvl w:val="0"/>
          <w:numId w:val="7"/>
        </w:numPr>
        <w:rPr>
          <w:rFonts w:ascii="Calibri" w:eastAsia="Calibri" w:hAnsi="Calibri" w:cs="Calibri"/>
        </w:rPr>
      </w:pPr>
      <w:r>
        <w:rPr>
          <w:rFonts w:ascii="Calibri" w:eastAsia="Calibri" w:hAnsi="Calibri" w:cs="Calibri"/>
        </w:rPr>
        <w:t>Establishing n</w:t>
      </w:r>
      <w:r w:rsidRPr="46DED6E2">
        <w:rPr>
          <w:rFonts w:ascii="Calibri" w:eastAsia="Calibri" w:hAnsi="Calibri" w:cs="Calibri"/>
        </w:rPr>
        <w:t xml:space="preserve">ondiscriminatory </w:t>
      </w:r>
      <w:r w:rsidR="788180F7" w:rsidRPr="46DED6E2">
        <w:rPr>
          <w:rFonts w:ascii="Calibri" w:eastAsia="Calibri" w:hAnsi="Calibri" w:cs="Calibri"/>
        </w:rPr>
        <w:t>job posting language, including changing the driver’s license requirements to instead say “reliable form of transportation” or equivalent (unless the position is a driving position)</w:t>
      </w:r>
    </w:p>
    <w:p w14:paraId="10BD3261" w14:textId="54C72710" w:rsidR="788180F7" w:rsidRDefault="00010CFD">
      <w:pPr>
        <w:pStyle w:val="ListParagraph"/>
        <w:numPr>
          <w:ilvl w:val="0"/>
          <w:numId w:val="7"/>
        </w:numPr>
        <w:rPr>
          <w:rFonts w:ascii="Calibri" w:eastAsia="Calibri" w:hAnsi="Calibri" w:cs="Calibri"/>
        </w:rPr>
      </w:pPr>
      <w:r>
        <w:rPr>
          <w:rFonts w:ascii="Calibri" w:eastAsia="Calibri" w:hAnsi="Calibri" w:cs="Calibri"/>
        </w:rPr>
        <w:t>Providing b</w:t>
      </w:r>
      <w:r w:rsidRPr="46DED6E2">
        <w:rPr>
          <w:rFonts w:ascii="Calibri" w:eastAsia="Calibri" w:hAnsi="Calibri" w:cs="Calibri"/>
        </w:rPr>
        <w:t xml:space="preserve">etter </w:t>
      </w:r>
      <w:r w:rsidR="788180F7" w:rsidRPr="46DED6E2">
        <w:rPr>
          <w:rFonts w:ascii="Calibri" w:eastAsia="Calibri" w:hAnsi="Calibri" w:cs="Calibri"/>
        </w:rPr>
        <w:t>awareness of the Centralized Accommodation Fund</w:t>
      </w:r>
    </w:p>
    <w:p w14:paraId="06D4515F" w14:textId="4B0B2F47" w:rsidR="788180F7" w:rsidRDefault="00010CFD">
      <w:pPr>
        <w:pStyle w:val="ListParagraph"/>
        <w:numPr>
          <w:ilvl w:val="0"/>
          <w:numId w:val="7"/>
        </w:numPr>
        <w:rPr>
          <w:rFonts w:ascii="Calibri" w:eastAsia="Calibri" w:hAnsi="Calibri" w:cs="Calibri"/>
        </w:rPr>
      </w:pPr>
      <w:r w:rsidRPr="46DED6E2">
        <w:rPr>
          <w:rFonts w:ascii="Calibri" w:eastAsia="Calibri" w:hAnsi="Calibri" w:cs="Calibri"/>
        </w:rPr>
        <w:t>C</w:t>
      </w:r>
      <w:r w:rsidR="00603B7F">
        <w:rPr>
          <w:rFonts w:ascii="Calibri" w:eastAsia="Calibri" w:hAnsi="Calibri" w:cs="Calibri"/>
        </w:rPr>
        <w:t>ollaborating</w:t>
      </w:r>
      <w:r w:rsidRPr="46DED6E2">
        <w:rPr>
          <w:rFonts w:ascii="Calibri" w:eastAsia="Calibri" w:hAnsi="Calibri" w:cs="Calibri"/>
        </w:rPr>
        <w:t xml:space="preserve"> </w:t>
      </w:r>
      <w:r w:rsidR="788180F7" w:rsidRPr="46DED6E2">
        <w:rPr>
          <w:rFonts w:ascii="Calibri" w:eastAsia="Calibri" w:hAnsi="Calibri" w:cs="Calibri"/>
        </w:rPr>
        <w:t>with VRS/SSB on changes to the C700 program prior to implementing them</w:t>
      </w:r>
    </w:p>
    <w:p w14:paraId="14B92CFE" w14:textId="2F93930E" w:rsidR="788180F7" w:rsidRDefault="00010CFD">
      <w:pPr>
        <w:pStyle w:val="ListParagraph"/>
        <w:numPr>
          <w:ilvl w:val="0"/>
          <w:numId w:val="7"/>
        </w:numPr>
        <w:rPr>
          <w:rFonts w:ascii="Calibri" w:eastAsia="Calibri" w:hAnsi="Calibri" w:cs="Calibri"/>
        </w:rPr>
      </w:pPr>
      <w:r>
        <w:rPr>
          <w:rFonts w:ascii="Calibri" w:eastAsia="Calibri" w:hAnsi="Calibri" w:cs="Calibri"/>
        </w:rPr>
        <w:t>Requiring m</w:t>
      </w:r>
      <w:r w:rsidRPr="46DED6E2">
        <w:rPr>
          <w:rFonts w:ascii="Calibri" w:eastAsia="Calibri" w:hAnsi="Calibri" w:cs="Calibri"/>
        </w:rPr>
        <w:t xml:space="preserve">andatory </w:t>
      </w:r>
      <w:r w:rsidR="788180F7" w:rsidRPr="46DED6E2">
        <w:rPr>
          <w:rFonts w:ascii="Calibri" w:eastAsia="Calibri" w:hAnsi="Calibri" w:cs="Calibri"/>
        </w:rPr>
        <w:t>disability training for all levels of staf</w:t>
      </w:r>
      <w:r w:rsidR="5837490D" w:rsidRPr="46DED6E2">
        <w:rPr>
          <w:rFonts w:ascii="Calibri" w:eastAsia="Calibri" w:hAnsi="Calibri" w:cs="Calibri"/>
        </w:rPr>
        <w:t>f</w:t>
      </w:r>
    </w:p>
    <w:p w14:paraId="078B204E" w14:textId="713F12CF" w:rsidR="46DED6E2" w:rsidRDefault="46DED6E2" w:rsidP="46DED6E2">
      <w:pPr>
        <w:rPr>
          <w:rFonts w:ascii="Calibri" w:eastAsia="Calibri" w:hAnsi="Calibri" w:cs="Calibri"/>
        </w:rPr>
      </w:pPr>
    </w:p>
    <w:p w14:paraId="14648724" w14:textId="57E70F20" w:rsidR="788180F7" w:rsidRDefault="788180F7" w:rsidP="46DED6E2">
      <w:r w:rsidRPr="46DED6E2">
        <w:rPr>
          <w:rFonts w:ascii="Calibri" w:eastAsia="Calibri" w:hAnsi="Calibri" w:cs="Calibri"/>
        </w:rPr>
        <w:t xml:space="preserve">The Advisory Taskforce will be reconvening at the start of 2024 to review progress made and conduct oversight on progress made on the above items.  </w:t>
      </w:r>
    </w:p>
    <w:p w14:paraId="191ABCDE" w14:textId="24EDA0FD" w:rsidR="46DED6E2" w:rsidRDefault="46DED6E2" w:rsidP="46DED6E2">
      <w:pPr>
        <w:rPr>
          <w:rFonts w:ascii="Calibri" w:eastAsia="Calibri" w:hAnsi="Calibri" w:cs="Calibri"/>
        </w:rPr>
      </w:pPr>
    </w:p>
    <w:p w14:paraId="7671030B" w14:textId="65EB7924" w:rsidR="46DED6E2" w:rsidRDefault="46DED6E2" w:rsidP="46DED6E2">
      <w:pPr>
        <w:rPr>
          <w:rFonts w:ascii="Calibri" w:eastAsia="Calibri" w:hAnsi="Calibri" w:cs="Calibri"/>
        </w:rPr>
      </w:pPr>
    </w:p>
    <w:p w14:paraId="372A3545" w14:textId="3576C4AC" w:rsidR="788180F7" w:rsidRPr="00C8757A" w:rsidRDefault="788180F7">
      <w:pPr>
        <w:pStyle w:val="ListParagraph"/>
        <w:numPr>
          <w:ilvl w:val="0"/>
          <w:numId w:val="10"/>
        </w:numPr>
        <w:ind w:left="360"/>
        <w:rPr>
          <w:rFonts w:ascii="Calibri" w:eastAsia="Calibri" w:hAnsi="Calibri" w:cs="Calibri"/>
          <w:b/>
          <w:bCs/>
        </w:rPr>
      </w:pPr>
      <w:r w:rsidRPr="00C8757A">
        <w:rPr>
          <w:rFonts w:ascii="Calibri" w:eastAsia="Calibri" w:hAnsi="Calibri" w:cs="Calibri"/>
          <w:b/>
          <w:bCs/>
          <w:u w:val="single"/>
        </w:rPr>
        <w:t>Priority: Internal Controls and Quality Assurance</w:t>
      </w:r>
      <w:r w:rsidRPr="00C8757A">
        <w:rPr>
          <w:rFonts w:ascii="Calibri" w:eastAsia="Calibri" w:hAnsi="Calibri" w:cs="Calibri"/>
          <w:b/>
          <w:bCs/>
        </w:rPr>
        <w:t xml:space="preserve"> </w:t>
      </w:r>
    </w:p>
    <w:p w14:paraId="29078DCD" w14:textId="2F3E65EE" w:rsidR="46DED6E2" w:rsidRDefault="46DED6E2" w:rsidP="46DED6E2">
      <w:pPr>
        <w:rPr>
          <w:rFonts w:ascii="Calibri" w:eastAsia="Calibri" w:hAnsi="Calibri" w:cs="Calibri"/>
        </w:rPr>
      </w:pPr>
    </w:p>
    <w:p w14:paraId="0D8BA592" w14:textId="34066F5A" w:rsidR="788180F7" w:rsidRDefault="788180F7" w:rsidP="46DED6E2">
      <w:pPr>
        <w:tabs>
          <w:tab w:val="left" w:pos="336"/>
        </w:tabs>
        <w:spacing w:line="389" w:lineRule="auto"/>
      </w:pPr>
      <w:r w:rsidRPr="46DED6E2">
        <w:rPr>
          <w:rFonts w:ascii="Calibri" w:eastAsia="Calibri" w:hAnsi="Calibri" w:cs="Calibri"/>
        </w:rPr>
        <w:t>Strategies:</w:t>
      </w:r>
    </w:p>
    <w:p w14:paraId="398BEE71" w14:textId="1F4E859B" w:rsidR="788180F7" w:rsidRDefault="788180F7">
      <w:pPr>
        <w:pStyle w:val="ListParagraph"/>
        <w:numPr>
          <w:ilvl w:val="1"/>
          <w:numId w:val="10"/>
        </w:numPr>
        <w:rPr>
          <w:rFonts w:ascii="Calibri" w:eastAsia="Calibri" w:hAnsi="Calibri" w:cs="Calibri"/>
        </w:rPr>
      </w:pPr>
      <w:r w:rsidRPr="46DED6E2">
        <w:rPr>
          <w:rFonts w:ascii="Calibri" w:eastAsia="Calibri" w:hAnsi="Calibri" w:cs="Calibri"/>
        </w:rPr>
        <w:t>Enhance the case review process to allow for real time results that can be put in SharePoint and allow for trends and patterns that can shape training and accountability and policy process.</w:t>
      </w:r>
    </w:p>
    <w:p w14:paraId="357997C8" w14:textId="7BCB95E8" w:rsidR="46DED6E2" w:rsidRDefault="46DED6E2" w:rsidP="46DED6E2">
      <w:pPr>
        <w:rPr>
          <w:rFonts w:ascii="Calibri" w:eastAsia="Calibri" w:hAnsi="Calibri" w:cs="Calibri"/>
        </w:rPr>
      </w:pPr>
    </w:p>
    <w:p w14:paraId="33357457" w14:textId="714806A5" w:rsidR="788180F7" w:rsidRDefault="788180F7">
      <w:pPr>
        <w:pStyle w:val="ListParagraph"/>
        <w:numPr>
          <w:ilvl w:val="2"/>
          <w:numId w:val="10"/>
        </w:numPr>
        <w:rPr>
          <w:rFonts w:ascii="Calibri" w:eastAsia="Calibri" w:hAnsi="Calibri" w:cs="Calibri"/>
        </w:rPr>
      </w:pPr>
      <w:r w:rsidRPr="46DED6E2">
        <w:rPr>
          <w:rFonts w:ascii="Calibri" w:eastAsia="Calibri" w:hAnsi="Calibri" w:cs="Calibri"/>
        </w:rPr>
        <w:t>Case reviews will be conducted by the Quality Assurance specialist.</w:t>
      </w:r>
    </w:p>
    <w:p w14:paraId="03C5E575" w14:textId="7495AEAA" w:rsidR="46DED6E2" w:rsidRDefault="46DED6E2" w:rsidP="46DED6E2">
      <w:pPr>
        <w:rPr>
          <w:rFonts w:ascii="Calibri" w:eastAsia="Calibri" w:hAnsi="Calibri" w:cs="Calibri"/>
        </w:rPr>
      </w:pPr>
    </w:p>
    <w:p w14:paraId="2016D797" w14:textId="6ED67E42" w:rsidR="788180F7" w:rsidRDefault="788180F7" w:rsidP="46DED6E2">
      <w:r w:rsidRPr="46DED6E2">
        <w:rPr>
          <w:rFonts w:ascii="Calibri" w:eastAsia="Calibri" w:hAnsi="Calibri" w:cs="Calibri"/>
        </w:rPr>
        <w:t xml:space="preserve">Review: </w:t>
      </w:r>
    </w:p>
    <w:p w14:paraId="0532EE10" w14:textId="2CB2E2A8" w:rsidR="788180F7" w:rsidRDefault="788180F7" w:rsidP="46DED6E2">
      <w:pPr>
        <w:spacing w:line="259" w:lineRule="auto"/>
        <w:rPr>
          <w:rFonts w:ascii="Calibri" w:eastAsia="Calibri" w:hAnsi="Calibri" w:cs="Calibri"/>
        </w:rPr>
      </w:pPr>
      <w:r w:rsidRPr="46DED6E2">
        <w:rPr>
          <w:rFonts w:ascii="Calibri" w:eastAsia="Calibri" w:hAnsi="Calibri" w:cs="Calibri"/>
        </w:rPr>
        <w:t>As of November 2023, our case review tool has been integrated into our case management system. This allows for a streamlined case review procedure, ability for reviews to be stored in a central location, the option for running reports</w:t>
      </w:r>
      <w:r w:rsidR="00B41527">
        <w:rPr>
          <w:rFonts w:ascii="Calibri" w:eastAsia="Calibri" w:hAnsi="Calibri" w:cs="Calibri"/>
        </w:rPr>
        <w:t>,</w:t>
      </w:r>
      <w:r w:rsidRPr="46DED6E2">
        <w:rPr>
          <w:rFonts w:ascii="Calibri" w:eastAsia="Calibri" w:hAnsi="Calibri" w:cs="Calibri"/>
        </w:rPr>
        <w:t xml:space="preserve"> and more easily identifying trends that can shape future training or inform policy updates and program decisions. Case reviews are conducted monthly by the Quality Assurance specialist, as well as one supervisor on a rotating basis. This strategy is considered successfully completed. </w:t>
      </w:r>
    </w:p>
    <w:p w14:paraId="238594AB" w14:textId="7310BDD7" w:rsidR="46DED6E2" w:rsidRDefault="46DED6E2" w:rsidP="46DED6E2">
      <w:pPr>
        <w:spacing w:line="259" w:lineRule="auto"/>
        <w:rPr>
          <w:rFonts w:ascii="Calibri" w:eastAsia="Calibri" w:hAnsi="Calibri" w:cs="Calibri"/>
        </w:rPr>
      </w:pPr>
    </w:p>
    <w:p w14:paraId="095D16D3" w14:textId="454B2951" w:rsidR="788180F7" w:rsidRDefault="788180F7">
      <w:pPr>
        <w:pStyle w:val="ListParagraph"/>
        <w:numPr>
          <w:ilvl w:val="1"/>
          <w:numId w:val="10"/>
        </w:numPr>
        <w:rPr>
          <w:rFonts w:ascii="Calibri" w:eastAsia="Calibri" w:hAnsi="Calibri" w:cs="Calibri"/>
        </w:rPr>
      </w:pPr>
      <w:r w:rsidRPr="46DED6E2">
        <w:rPr>
          <w:rFonts w:ascii="Calibri" w:eastAsia="Calibri" w:hAnsi="Calibri" w:cs="Calibri"/>
        </w:rPr>
        <w:t>Create a data dashboard to allow for real-time reporting of performance and demographics.</w:t>
      </w:r>
    </w:p>
    <w:p w14:paraId="6B636403" w14:textId="793A8760" w:rsidR="46DED6E2" w:rsidRDefault="46DED6E2" w:rsidP="46DED6E2">
      <w:pPr>
        <w:rPr>
          <w:rFonts w:ascii="Calibri" w:eastAsia="Calibri" w:hAnsi="Calibri" w:cs="Calibri"/>
        </w:rPr>
      </w:pPr>
    </w:p>
    <w:p w14:paraId="50CB9F43" w14:textId="11B5407A" w:rsidR="788180F7" w:rsidRDefault="788180F7">
      <w:pPr>
        <w:pStyle w:val="ListParagraph"/>
        <w:numPr>
          <w:ilvl w:val="2"/>
          <w:numId w:val="10"/>
        </w:numPr>
        <w:rPr>
          <w:rFonts w:ascii="Calibri" w:eastAsia="Calibri" w:hAnsi="Calibri" w:cs="Calibri"/>
        </w:rPr>
      </w:pPr>
      <w:r w:rsidRPr="46DED6E2">
        <w:rPr>
          <w:rFonts w:ascii="Calibri" w:eastAsia="Calibri" w:hAnsi="Calibri" w:cs="Calibri"/>
        </w:rPr>
        <w:t>We will be continuing the work on developing the data dashboard by reviewing existing tools that may be available to meet this need compared to building our own. The expectation is to have completed this project well within the year.</w:t>
      </w:r>
    </w:p>
    <w:p w14:paraId="001B5744" w14:textId="54139B09" w:rsidR="46DED6E2" w:rsidRDefault="46DED6E2" w:rsidP="46DED6E2">
      <w:pPr>
        <w:rPr>
          <w:rFonts w:ascii="Calibri" w:eastAsia="Calibri" w:hAnsi="Calibri" w:cs="Calibri"/>
        </w:rPr>
      </w:pPr>
    </w:p>
    <w:p w14:paraId="4B0441B8" w14:textId="512B7D2D" w:rsidR="788180F7" w:rsidRDefault="788180F7" w:rsidP="46DED6E2">
      <w:pPr>
        <w:rPr>
          <w:rFonts w:ascii="Calibri" w:eastAsia="Calibri" w:hAnsi="Calibri" w:cs="Calibri"/>
          <w:b/>
          <w:bCs/>
        </w:rPr>
      </w:pPr>
      <w:bookmarkStart w:id="3" w:name="_Int_5qSOgaqs"/>
      <w:r w:rsidRPr="46DED6E2">
        <w:rPr>
          <w:rFonts w:ascii="Calibri" w:eastAsia="Calibri" w:hAnsi="Calibri" w:cs="Calibri"/>
        </w:rPr>
        <w:t xml:space="preserve">Review: </w:t>
      </w:r>
      <w:bookmarkEnd w:id="3"/>
    </w:p>
    <w:p w14:paraId="7E057719" w14:textId="53E8362B" w:rsidR="788180F7" w:rsidRDefault="788180F7" w:rsidP="46DED6E2">
      <w:pPr>
        <w:spacing w:line="259" w:lineRule="auto"/>
        <w:rPr>
          <w:rFonts w:ascii="Calibri" w:eastAsia="Calibri" w:hAnsi="Calibri" w:cs="Calibri"/>
        </w:rPr>
      </w:pPr>
      <w:r w:rsidRPr="46DED6E2">
        <w:rPr>
          <w:rFonts w:ascii="Calibri" w:eastAsia="Calibri" w:hAnsi="Calibri" w:cs="Calibri"/>
        </w:rPr>
        <w:lastRenderedPageBreak/>
        <w:t>While we have made some progress in this area, we are not as far along as we wanted to be. Our data analyst went on a one-year extended leave, so we have relied on other department data analysts to assist when they are available. We have, however, been able to work with DEED’s Performance and Technical Management division to begin building data dashboards in Power BI. We have one report fully completed, which is the post-pandemic application and successful closure trend report. We have a list of other reports we would like to have in a more comprehensive dashboard, once we have the staffing level to do so. We are in the process of hiring a second data analyst who will have a larger focus on the creation of data dashboards and tools.</w:t>
      </w:r>
    </w:p>
    <w:p w14:paraId="337697A9" w14:textId="4388015E" w:rsidR="46DED6E2" w:rsidRDefault="46DED6E2" w:rsidP="46DED6E2">
      <w:pPr>
        <w:spacing w:line="259" w:lineRule="auto"/>
        <w:rPr>
          <w:rFonts w:ascii="Calibri" w:eastAsia="Calibri" w:hAnsi="Calibri" w:cs="Calibri"/>
        </w:rPr>
      </w:pPr>
    </w:p>
    <w:p w14:paraId="6B382662" w14:textId="4307F552" w:rsidR="46DED6E2" w:rsidRDefault="46DED6E2" w:rsidP="46DED6E2">
      <w:pPr>
        <w:spacing w:line="259" w:lineRule="auto"/>
        <w:rPr>
          <w:rFonts w:ascii="Calibri" w:eastAsia="Calibri" w:hAnsi="Calibri" w:cs="Calibri"/>
        </w:rPr>
      </w:pPr>
    </w:p>
    <w:p w14:paraId="6B047031" w14:textId="57C25017" w:rsidR="788180F7" w:rsidRPr="00C8757A" w:rsidRDefault="788180F7">
      <w:pPr>
        <w:pStyle w:val="ListParagraph"/>
        <w:numPr>
          <w:ilvl w:val="0"/>
          <w:numId w:val="10"/>
        </w:numPr>
        <w:ind w:left="360"/>
        <w:rPr>
          <w:rFonts w:ascii="Calibri" w:eastAsia="Calibri" w:hAnsi="Calibri" w:cs="Calibri"/>
          <w:b/>
          <w:bCs/>
        </w:rPr>
      </w:pPr>
      <w:r w:rsidRPr="00C8757A">
        <w:rPr>
          <w:rFonts w:ascii="Calibri" w:eastAsia="Calibri" w:hAnsi="Calibri" w:cs="Calibri"/>
          <w:b/>
          <w:bCs/>
          <w:u w:val="single"/>
        </w:rPr>
        <w:t>Priority: Under-Represented Populations</w:t>
      </w:r>
      <w:r w:rsidRPr="00C8757A">
        <w:rPr>
          <w:rFonts w:ascii="Calibri" w:eastAsia="Calibri" w:hAnsi="Calibri" w:cs="Calibri"/>
          <w:b/>
          <w:bCs/>
        </w:rPr>
        <w:t xml:space="preserve"> </w:t>
      </w:r>
    </w:p>
    <w:p w14:paraId="0BFE39AB" w14:textId="7FFC7A13" w:rsidR="46DED6E2" w:rsidRDefault="46DED6E2" w:rsidP="46DED6E2">
      <w:pPr>
        <w:rPr>
          <w:rFonts w:ascii="Calibri" w:eastAsia="Calibri" w:hAnsi="Calibri" w:cs="Calibri"/>
        </w:rPr>
      </w:pPr>
    </w:p>
    <w:p w14:paraId="631130C4" w14:textId="21163E45" w:rsidR="788180F7" w:rsidRDefault="788180F7" w:rsidP="46DED6E2">
      <w:pPr>
        <w:tabs>
          <w:tab w:val="left" w:pos="336"/>
        </w:tabs>
        <w:spacing w:line="389" w:lineRule="auto"/>
      </w:pPr>
      <w:r w:rsidRPr="46DED6E2">
        <w:rPr>
          <w:rFonts w:ascii="Calibri" w:eastAsia="Calibri" w:hAnsi="Calibri" w:cs="Calibri"/>
        </w:rPr>
        <w:t>Strategies:</w:t>
      </w:r>
    </w:p>
    <w:p w14:paraId="12F82F53" w14:textId="1275F553" w:rsidR="788180F7" w:rsidRDefault="788180F7">
      <w:pPr>
        <w:pStyle w:val="ListParagraph"/>
        <w:numPr>
          <w:ilvl w:val="0"/>
          <w:numId w:val="6"/>
        </w:numPr>
        <w:rPr>
          <w:rFonts w:ascii="Calibri" w:eastAsia="Calibri" w:hAnsi="Calibri" w:cs="Calibri"/>
        </w:rPr>
      </w:pPr>
      <w:r w:rsidRPr="46DED6E2">
        <w:rPr>
          <w:rFonts w:ascii="Calibri" w:eastAsia="Calibri" w:hAnsi="Calibri" w:cs="Calibri"/>
        </w:rPr>
        <w:t>Increase minority applicants for vocational rehabilitation services who otherwise would not have applied because of statewide outreach with the minority communities. Use applicant data on race, ethnicity, gender, and religion to measure against closure rates to determine if there are trends in unsuccessful closures among a particular protected class.</w:t>
      </w:r>
    </w:p>
    <w:p w14:paraId="6CF2182D" w14:textId="5C0D2EFB" w:rsidR="788180F7" w:rsidRDefault="788180F7">
      <w:pPr>
        <w:pStyle w:val="ListParagraph"/>
        <w:numPr>
          <w:ilvl w:val="0"/>
          <w:numId w:val="6"/>
        </w:numPr>
        <w:rPr>
          <w:rFonts w:ascii="Calibri" w:eastAsia="Calibri" w:hAnsi="Calibri" w:cs="Calibri"/>
        </w:rPr>
      </w:pPr>
      <w:r w:rsidRPr="46DED6E2">
        <w:rPr>
          <w:rFonts w:ascii="Calibri" w:eastAsia="Calibri" w:hAnsi="Calibri" w:cs="Calibri"/>
        </w:rPr>
        <w:t>Once measurements are established, an action plan will be developed to identify what gaps exist and how to reduce them.</w:t>
      </w:r>
    </w:p>
    <w:p w14:paraId="201A838F" w14:textId="67D611E9" w:rsidR="46DED6E2" w:rsidRDefault="46DED6E2" w:rsidP="46DED6E2">
      <w:pPr>
        <w:rPr>
          <w:rFonts w:ascii="Calibri" w:eastAsia="Calibri" w:hAnsi="Calibri" w:cs="Calibri"/>
        </w:rPr>
      </w:pPr>
    </w:p>
    <w:p w14:paraId="63C48728" w14:textId="23C8D518"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Review: </w:t>
      </w:r>
    </w:p>
    <w:p w14:paraId="22F98703" w14:textId="2854DB80"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We have made considerable progress in our intentional and targeted outreach efforts toward underserved and underrepresented communities; however, </w:t>
      </w:r>
      <w:r w:rsidR="00A97C5B">
        <w:rPr>
          <w:rFonts w:ascii="Calibri" w:eastAsia="Calibri" w:hAnsi="Calibri" w:cs="Calibri"/>
        </w:rPr>
        <w:t>there is still more to be done</w:t>
      </w:r>
      <w:r w:rsidRPr="46DED6E2">
        <w:rPr>
          <w:rFonts w:ascii="Calibri" w:eastAsia="Calibri" w:hAnsi="Calibri" w:cs="Calibri"/>
        </w:rPr>
        <w:t>. The following activities highlight this progress:</w:t>
      </w:r>
    </w:p>
    <w:p w14:paraId="6D870A59" w14:textId="6BEE19C4" w:rsidR="788180F7" w:rsidRDefault="788180F7">
      <w:pPr>
        <w:pStyle w:val="ListParagraph"/>
        <w:numPr>
          <w:ilvl w:val="0"/>
          <w:numId w:val="5"/>
        </w:numPr>
        <w:rPr>
          <w:rFonts w:ascii="Calibri" w:eastAsia="Calibri" w:hAnsi="Calibri" w:cs="Calibri"/>
        </w:rPr>
      </w:pPr>
      <w:r w:rsidRPr="46DED6E2">
        <w:rPr>
          <w:rFonts w:ascii="Calibri" w:eastAsia="Calibri" w:hAnsi="Calibri" w:cs="Calibri"/>
        </w:rPr>
        <w:t>The State Rehabilitation Council for the Blind (SRC-B) revitalized and renamed the Minority Committee to the Diversity, Equity, and Inclusion Committee</w:t>
      </w:r>
      <w:r w:rsidR="00C4551B">
        <w:rPr>
          <w:rFonts w:ascii="Calibri" w:eastAsia="Calibri" w:hAnsi="Calibri" w:cs="Calibri"/>
        </w:rPr>
        <w:t>.</w:t>
      </w:r>
      <w:r w:rsidR="00C4551B" w:rsidRPr="46DED6E2">
        <w:rPr>
          <w:rFonts w:ascii="Calibri" w:eastAsia="Calibri" w:hAnsi="Calibri" w:cs="Calibri"/>
        </w:rPr>
        <w:t xml:space="preserve"> </w:t>
      </w:r>
      <w:r w:rsidR="00C4551B">
        <w:rPr>
          <w:rFonts w:ascii="Calibri" w:eastAsia="Calibri" w:hAnsi="Calibri" w:cs="Calibri"/>
        </w:rPr>
        <w:t>T</w:t>
      </w:r>
      <w:r w:rsidRPr="46DED6E2">
        <w:rPr>
          <w:rFonts w:ascii="Calibri" w:eastAsia="Calibri" w:hAnsi="Calibri" w:cs="Calibri"/>
        </w:rPr>
        <w:t>his group is tasked with helping SSB reach and serve more individuals from BIPOC communities.</w:t>
      </w:r>
    </w:p>
    <w:p w14:paraId="525BA595" w14:textId="38852C09" w:rsidR="788180F7" w:rsidRDefault="788180F7">
      <w:pPr>
        <w:pStyle w:val="ListParagraph"/>
        <w:numPr>
          <w:ilvl w:val="0"/>
          <w:numId w:val="5"/>
        </w:numPr>
        <w:rPr>
          <w:rFonts w:ascii="Calibri" w:eastAsia="Calibri" w:hAnsi="Calibri" w:cs="Calibri"/>
        </w:rPr>
      </w:pPr>
      <w:r w:rsidRPr="46DED6E2">
        <w:rPr>
          <w:rFonts w:ascii="Calibri" w:eastAsia="Calibri" w:hAnsi="Calibri" w:cs="Calibri"/>
        </w:rPr>
        <w:t xml:space="preserve">We added a demographic profile to our customer satisfaction survey so we can track satisfaction by age, gender, race, and ethnicity; satisfaction results show </w:t>
      </w:r>
      <w:r w:rsidRPr="46DED6E2">
        <w:rPr>
          <w:rFonts w:ascii="Calibri" w:eastAsia="Calibri" w:hAnsi="Calibri" w:cs="Calibri"/>
          <w:b/>
          <w:bCs/>
        </w:rPr>
        <w:t>higher</w:t>
      </w:r>
      <w:r w:rsidRPr="46DED6E2">
        <w:rPr>
          <w:rFonts w:ascii="Calibri" w:eastAsia="Calibri" w:hAnsi="Calibri" w:cs="Calibri"/>
        </w:rPr>
        <w:t xml:space="preserve"> satisfaction with our services if you are Hispanic/Latino, BIPOC, or DeafBlind.  </w:t>
      </w:r>
    </w:p>
    <w:p w14:paraId="768E8424" w14:textId="28220CBB" w:rsidR="788180F7" w:rsidRDefault="788180F7">
      <w:pPr>
        <w:pStyle w:val="ListParagraph"/>
        <w:numPr>
          <w:ilvl w:val="0"/>
          <w:numId w:val="5"/>
        </w:numPr>
        <w:rPr>
          <w:rFonts w:ascii="Calibri" w:eastAsia="Calibri" w:hAnsi="Calibri" w:cs="Calibri"/>
        </w:rPr>
      </w:pPr>
      <w:r w:rsidRPr="46DED6E2">
        <w:rPr>
          <w:rFonts w:ascii="Calibri" w:eastAsia="Calibri" w:hAnsi="Calibri" w:cs="Calibri"/>
        </w:rPr>
        <w:t>We are hiring a second outreach coordinator who will be able to devote time in connecting with those communities who are historically underserved; this includes our Tribal communities.</w:t>
      </w:r>
    </w:p>
    <w:p w14:paraId="386A8F23" w14:textId="77777777" w:rsidR="008B102E" w:rsidRPr="008B102E" w:rsidRDefault="008B102E" w:rsidP="008B102E">
      <w:pPr>
        <w:pStyle w:val="ListParagraph"/>
        <w:numPr>
          <w:ilvl w:val="0"/>
          <w:numId w:val="5"/>
        </w:numPr>
        <w:rPr>
          <w:rFonts w:ascii="Calibri" w:eastAsia="Calibri" w:hAnsi="Calibri" w:cs="Calibri"/>
        </w:rPr>
      </w:pPr>
      <w:r w:rsidRPr="008B102E">
        <w:rPr>
          <w:rFonts w:ascii="Calibri" w:eastAsia="Calibri" w:hAnsi="Calibri" w:cs="Calibri"/>
        </w:rPr>
        <w:t xml:space="preserve">We are serving more individuals from BIPOC communities according to our data, however, across the board, these communities have higher unsuccessful closures. </w:t>
      </w:r>
    </w:p>
    <w:p w14:paraId="1F45AE6B" w14:textId="10453082" w:rsidR="788180F7" w:rsidRDefault="788180F7">
      <w:pPr>
        <w:pStyle w:val="ListParagraph"/>
        <w:numPr>
          <w:ilvl w:val="0"/>
          <w:numId w:val="5"/>
        </w:numPr>
        <w:rPr>
          <w:rFonts w:ascii="Calibri" w:eastAsia="Calibri" w:hAnsi="Calibri" w:cs="Calibri"/>
        </w:rPr>
      </w:pPr>
      <w:r w:rsidRPr="46DED6E2">
        <w:rPr>
          <w:rFonts w:ascii="Calibri" w:eastAsia="Calibri" w:hAnsi="Calibri" w:cs="Calibri"/>
        </w:rPr>
        <w:t>We established a contract with a new orientation and mobility specialist contractor who is fluent in Somali.</w:t>
      </w:r>
    </w:p>
    <w:p w14:paraId="71608E99" w14:textId="6B95DB4B" w:rsidR="788180F7" w:rsidRDefault="788180F7">
      <w:pPr>
        <w:pStyle w:val="ListParagraph"/>
        <w:numPr>
          <w:ilvl w:val="0"/>
          <w:numId w:val="5"/>
        </w:numPr>
        <w:rPr>
          <w:rFonts w:ascii="Calibri" w:eastAsia="Calibri" w:hAnsi="Calibri" w:cs="Calibri"/>
        </w:rPr>
      </w:pPr>
      <w:r w:rsidRPr="46DED6E2">
        <w:rPr>
          <w:rFonts w:ascii="Calibri" w:eastAsia="Calibri" w:hAnsi="Calibri" w:cs="Calibri"/>
        </w:rPr>
        <w:t>We have launched our Literacy for All campaign in our Communication Center; this means we are offering more accessible materials in languages other than English. We have been able to translate our brochures in multiple languages, both written and via audio. In addition, we are in the early stages of supporting the Language Revitalization efforts through the Minnesota Department of Education, which is an effort to revitalize the Dakota and Ojibwe languages.</w:t>
      </w:r>
    </w:p>
    <w:p w14:paraId="7453862E" w14:textId="6AA2EFF5" w:rsidR="788180F7" w:rsidRDefault="788180F7" w:rsidP="46DED6E2">
      <w:r w:rsidRPr="46DED6E2">
        <w:rPr>
          <w:rFonts w:ascii="Calibri" w:eastAsia="Calibri" w:hAnsi="Calibri" w:cs="Calibri"/>
        </w:rPr>
        <w:t xml:space="preserve"> </w:t>
      </w:r>
    </w:p>
    <w:p w14:paraId="6989C343" w14:textId="5E96B906" w:rsidR="788180F7" w:rsidRDefault="788180F7" w:rsidP="46DED6E2">
      <w:pPr>
        <w:spacing w:line="259" w:lineRule="auto"/>
        <w:rPr>
          <w:rFonts w:ascii="Calibri" w:eastAsia="Calibri" w:hAnsi="Calibri" w:cs="Calibri"/>
        </w:rPr>
      </w:pPr>
      <w:r w:rsidRPr="46DED6E2">
        <w:rPr>
          <w:rFonts w:ascii="Calibri" w:eastAsia="Calibri" w:hAnsi="Calibri" w:cs="Calibri"/>
        </w:rPr>
        <w:t>A work group was created to investigate applicant and closure data and identify gaps and trends. This group spent a considerable amount of time reviewing historical data from the last 3 to 5 years. They even dug into case notes to determine what led to the unsuccessful closure. Through that considerable amount of research, they identified the biggest area of need had to do with serving new Americans and refugees. DEED is fortunate to have the Office of New Americans</w:t>
      </w:r>
      <w:r w:rsidR="00CC46BB">
        <w:rPr>
          <w:rFonts w:ascii="Calibri" w:eastAsia="Calibri" w:hAnsi="Calibri" w:cs="Calibri"/>
        </w:rPr>
        <w:t>.</w:t>
      </w:r>
      <w:r w:rsidRPr="46DED6E2">
        <w:rPr>
          <w:rFonts w:ascii="Calibri" w:eastAsia="Calibri" w:hAnsi="Calibri" w:cs="Calibri"/>
        </w:rPr>
        <w:t xml:space="preserve"> </w:t>
      </w:r>
      <w:r w:rsidR="00CC46BB">
        <w:rPr>
          <w:rFonts w:ascii="Calibri" w:eastAsia="Calibri" w:hAnsi="Calibri" w:cs="Calibri"/>
        </w:rPr>
        <w:t>T</w:t>
      </w:r>
      <w:r w:rsidRPr="46DED6E2">
        <w:rPr>
          <w:rFonts w:ascii="Calibri" w:eastAsia="Calibri" w:hAnsi="Calibri" w:cs="Calibri"/>
        </w:rPr>
        <w:t xml:space="preserve">he work group met with the Assistant Commissioner for that office to learn more about this population, including cultural components. </w:t>
      </w:r>
    </w:p>
    <w:p w14:paraId="0CCF08A7" w14:textId="0B6BB8FC" w:rsidR="788180F7" w:rsidRDefault="788180F7" w:rsidP="46DED6E2">
      <w:r w:rsidRPr="46DED6E2">
        <w:rPr>
          <w:rFonts w:ascii="Calibri" w:eastAsia="Calibri" w:hAnsi="Calibri" w:cs="Calibri"/>
        </w:rPr>
        <w:t xml:space="preserve"> </w:t>
      </w:r>
    </w:p>
    <w:p w14:paraId="1202F303" w14:textId="5C72E0FA" w:rsidR="788180F7" w:rsidRDefault="788180F7" w:rsidP="46DED6E2">
      <w:pPr>
        <w:spacing w:line="259" w:lineRule="auto"/>
        <w:rPr>
          <w:rFonts w:ascii="Calibri" w:eastAsia="Calibri" w:hAnsi="Calibri" w:cs="Calibri"/>
        </w:rPr>
      </w:pPr>
      <w:r w:rsidRPr="46DED6E2">
        <w:rPr>
          <w:rFonts w:ascii="Calibri" w:eastAsia="Calibri" w:hAnsi="Calibri" w:cs="Calibri"/>
        </w:rPr>
        <w:t>It was identified that many staff lack cultural awareness, especially when it comes to how we describe our services and the purpose</w:t>
      </w:r>
      <w:r w:rsidR="00CF66F3">
        <w:rPr>
          <w:rFonts w:ascii="Calibri" w:eastAsia="Calibri" w:hAnsi="Calibri" w:cs="Calibri"/>
        </w:rPr>
        <w:t>s</w:t>
      </w:r>
      <w:r w:rsidRPr="46DED6E2">
        <w:rPr>
          <w:rFonts w:ascii="Calibri" w:eastAsia="Calibri" w:hAnsi="Calibri" w:cs="Calibri"/>
        </w:rPr>
        <w:t xml:space="preserve"> of our program. We also have a significant lack of service providers who know how to bridge language and cultural barriers, especially when </w:t>
      </w:r>
      <w:r w:rsidR="00EF07E1" w:rsidRPr="46DED6E2">
        <w:rPr>
          <w:rFonts w:ascii="Calibri" w:eastAsia="Calibri" w:hAnsi="Calibri" w:cs="Calibri"/>
        </w:rPr>
        <w:t>th</w:t>
      </w:r>
      <w:r w:rsidR="00EF07E1">
        <w:rPr>
          <w:rFonts w:ascii="Calibri" w:eastAsia="Calibri" w:hAnsi="Calibri" w:cs="Calibri"/>
        </w:rPr>
        <w:t xml:space="preserve">ose </w:t>
      </w:r>
      <w:r w:rsidRPr="46DED6E2">
        <w:rPr>
          <w:rFonts w:ascii="Calibri" w:eastAsia="Calibri" w:hAnsi="Calibri" w:cs="Calibri"/>
        </w:rPr>
        <w:t>barrier</w:t>
      </w:r>
      <w:r w:rsidR="00EF07E1">
        <w:rPr>
          <w:rFonts w:ascii="Calibri" w:eastAsia="Calibri" w:hAnsi="Calibri" w:cs="Calibri"/>
        </w:rPr>
        <w:t>s</w:t>
      </w:r>
      <w:r w:rsidRPr="46DED6E2">
        <w:rPr>
          <w:rFonts w:ascii="Calibri" w:eastAsia="Calibri" w:hAnsi="Calibri" w:cs="Calibri"/>
        </w:rPr>
        <w:t xml:space="preserve"> </w:t>
      </w:r>
      <w:r w:rsidR="00EF07E1">
        <w:rPr>
          <w:rFonts w:ascii="Calibri" w:eastAsia="Calibri" w:hAnsi="Calibri" w:cs="Calibri"/>
        </w:rPr>
        <w:t>are</w:t>
      </w:r>
      <w:r w:rsidR="00EF07E1" w:rsidRPr="46DED6E2">
        <w:rPr>
          <w:rFonts w:ascii="Calibri" w:eastAsia="Calibri" w:hAnsi="Calibri" w:cs="Calibri"/>
        </w:rPr>
        <w:t xml:space="preserve"> </w:t>
      </w:r>
      <w:r w:rsidRPr="46DED6E2">
        <w:rPr>
          <w:rFonts w:ascii="Calibri" w:eastAsia="Calibri" w:hAnsi="Calibri" w:cs="Calibri"/>
        </w:rPr>
        <w:t xml:space="preserve">partnered with vision loss or blindness. We are </w:t>
      </w:r>
      <w:r w:rsidR="00131B6F">
        <w:rPr>
          <w:rFonts w:ascii="Calibri" w:eastAsia="Calibri" w:hAnsi="Calibri" w:cs="Calibri"/>
        </w:rPr>
        <w:t xml:space="preserve">unsure </w:t>
      </w:r>
      <w:r w:rsidRPr="46DED6E2">
        <w:rPr>
          <w:rFonts w:ascii="Calibri" w:eastAsia="Calibri" w:hAnsi="Calibri" w:cs="Calibri"/>
        </w:rPr>
        <w:t xml:space="preserve">what </w:t>
      </w:r>
      <w:r w:rsidRPr="46DED6E2">
        <w:rPr>
          <w:rFonts w:ascii="Calibri" w:eastAsia="Calibri" w:hAnsi="Calibri" w:cs="Calibri"/>
        </w:rPr>
        <w:lastRenderedPageBreak/>
        <w:t xml:space="preserve">we can do to develop community partners with this skill set, but we are considering the creation of “community liaisons” who can </w:t>
      </w:r>
      <w:r w:rsidR="00942533">
        <w:rPr>
          <w:rFonts w:ascii="Calibri" w:eastAsia="Calibri" w:hAnsi="Calibri" w:cs="Calibri"/>
        </w:rPr>
        <w:t>serve as</w:t>
      </w:r>
      <w:r w:rsidR="00942533" w:rsidRPr="46DED6E2">
        <w:rPr>
          <w:rFonts w:ascii="Calibri" w:eastAsia="Calibri" w:hAnsi="Calibri" w:cs="Calibri"/>
        </w:rPr>
        <w:t xml:space="preserve"> </w:t>
      </w:r>
      <w:r w:rsidRPr="46DED6E2">
        <w:rPr>
          <w:rFonts w:ascii="Calibri" w:eastAsia="Calibri" w:hAnsi="Calibri" w:cs="Calibri"/>
        </w:rPr>
        <w:t xml:space="preserve">a cultural bridge between SSB staff and the communities. </w:t>
      </w:r>
    </w:p>
    <w:p w14:paraId="7EA4B8B4" w14:textId="6B78E0D0" w:rsidR="788180F7" w:rsidRDefault="788180F7" w:rsidP="46DED6E2">
      <w:r w:rsidRPr="46DED6E2">
        <w:rPr>
          <w:rFonts w:ascii="Calibri" w:eastAsia="Calibri" w:hAnsi="Calibri" w:cs="Calibri"/>
        </w:rPr>
        <w:t xml:space="preserve"> </w:t>
      </w:r>
    </w:p>
    <w:p w14:paraId="763F25D1" w14:textId="3E2DB12F" w:rsidR="788180F7" w:rsidRDefault="00D04B28" w:rsidP="46DED6E2">
      <w:pPr>
        <w:spacing w:line="259" w:lineRule="auto"/>
        <w:rPr>
          <w:rFonts w:ascii="Calibri" w:eastAsia="Calibri" w:hAnsi="Calibri" w:cs="Calibri"/>
        </w:rPr>
      </w:pPr>
      <w:r>
        <w:rPr>
          <w:rFonts w:ascii="Calibri" w:eastAsia="Calibri" w:hAnsi="Calibri" w:cs="Calibri"/>
        </w:rPr>
        <w:t>SSB staff members</w:t>
      </w:r>
      <w:r w:rsidR="788180F7" w:rsidRPr="46DED6E2">
        <w:rPr>
          <w:rFonts w:ascii="Calibri" w:eastAsia="Calibri" w:hAnsi="Calibri" w:cs="Calibri"/>
        </w:rPr>
        <w:t xml:space="preserve"> are receiving ongoing training as it relates to diversity, equity, inclusion, and accessibility, but this training is geared more towards their employment through the State of Minnesota and less around how to engage with</w:t>
      </w:r>
      <w:r w:rsidR="00D86626">
        <w:rPr>
          <w:rFonts w:ascii="Calibri" w:eastAsia="Calibri" w:hAnsi="Calibri" w:cs="Calibri"/>
        </w:rPr>
        <w:t>,</w:t>
      </w:r>
      <w:r w:rsidR="788180F7" w:rsidRPr="46DED6E2">
        <w:rPr>
          <w:rFonts w:ascii="Calibri" w:eastAsia="Calibri" w:hAnsi="Calibri" w:cs="Calibri"/>
        </w:rPr>
        <w:t xml:space="preserve"> and serve</w:t>
      </w:r>
      <w:r w:rsidR="00D86626">
        <w:rPr>
          <w:rFonts w:ascii="Calibri" w:eastAsia="Calibri" w:hAnsi="Calibri" w:cs="Calibri"/>
        </w:rPr>
        <w:t>,</w:t>
      </w:r>
      <w:r w:rsidR="788180F7" w:rsidRPr="46DED6E2">
        <w:rPr>
          <w:rFonts w:ascii="Calibri" w:eastAsia="Calibri" w:hAnsi="Calibri" w:cs="Calibri"/>
        </w:rPr>
        <w:t xml:space="preserve"> customers. We are considering implementing the ABCs of Cultural Competence to staff, which is a training offered through UA Currents. </w:t>
      </w:r>
    </w:p>
    <w:p w14:paraId="6FA1922A" w14:textId="7F67F8C6" w:rsidR="788180F7" w:rsidRDefault="788180F7" w:rsidP="46DED6E2">
      <w:r w:rsidRPr="46DED6E2">
        <w:rPr>
          <w:rFonts w:ascii="Calibri" w:eastAsia="Calibri" w:hAnsi="Calibri" w:cs="Calibri"/>
        </w:rPr>
        <w:t xml:space="preserve"> </w:t>
      </w:r>
    </w:p>
    <w:p w14:paraId="7115FC9D" w14:textId="2C9540F9" w:rsidR="788180F7" w:rsidRPr="00C8757A" w:rsidRDefault="788180F7">
      <w:pPr>
        <w:pStyle w:val="ListParagraph"/>
        <w:numPr>
          <w:ilvl w:val="0"/>
          <w:numId w:val="10"/>
        </w:numPr>
        <w:spacing w:line="384" w:lineRule="auto"/>
        <w:ind w:left="270" w:hanging="270"/>
        <w:rPr>
          <w:b/>
          <w:bCs/>
          <w:u w:val="single"/>
        </w:rPr>
      </w:pPr>
      <w:r w:rsidRPr="00C8757A">
        <w:rPr>
          <w:rFonts w:ascii="Calibri" w:eastAsia="Calibri" w:hAnsi="Calibri" w:cs="Calibri"/>
          <w:b/>
          <w:bCs/>
          <w:u w:val="single"/>
        </w:rPr>
        <w:t xml:space="preserve">Priority: Transition and Pre-Employment Transition Services (Pre-ETS) </w:t>
      </w:r>
    </w:p>
    <w:p w14:paraId="48CAF604" w14:textId="5C321951" w:rsidR="788180F7" w:rsidRDefault="788180F7" w:rsidP="46DED6E2">
      <w:pPr>
        <w:tabs>
          <w:tab w:val="left" w:pos="360"/>
        </w:tabs>
        <w:spacing w:line="384" w:lineRule="auto"/>
      </w:pPr>
      <w:r w:rsidRPr="46DED6E2">
        <w:rPr>
          <w:rFonts w:ascii="Calibri" w:eastAsia="Calibri" w:hAnsi="Calibri" w:cs="Calibri"/>
        </w:rPr>
        <w:t>Strategies:</w:t>
      </w:r>
    </w:p>
    <w:p w14:paraId="6D8AAC2E" w14:textId="11EBCAA1" w:rsidR="788180F7" w:rsidRDefault="788180F7">
      <w:pPr>
        <w:pStyle w:val="ListParagraph"/>
        <w:numPr>
          <w:ilvl w:val="1"/>
          <w:numId w:val="10"/>
        </w:numPr>
        <w:rPr>
          <w:rFonts w:ascii="Calibri" w:eastAsia="Calibri" w:hAnsi="Calibri" w:cs="Calibri"/>
        </w:rPr>
      </w:pPr>
      <w:r w:rsidRPr="46DED6E2">
        <w:rPr>
          <w:rFonts w:ascii="Calibri" w:eastAsia="Calibri" w:hAnsi="Calibri" w:cs="Calibri"/>
        </w:rPr>
        <w:t>Develop a longitudinal study on all youth (ages 25 and younger) case closures. Identify factors that contribute to successful or unsuccessful outcomes.</w:t>
      </w:r>
    </w:p>
    <w:p w14:paraId="7377F621" w14:textId="4EB70D4B" w:rsidR="46DED6E2" w:rsidRDefault="46DED6E2" w:rsidP="46DED6E2">
      <w:pPr>
        <w:rPr>
          <w:rFonts w:ascii="Calibri" w:eastAsia="Calibri" w:hAnsi="Calibri" w:cs="Calibri"/>
        </w:rPr>
      </w:pPr>
    </w:p>
    <w:p w14:paraId="3A1573E7" w14:textId="3BC00536" w:rsidR="788180F7" w:rsidRDefault="788180F7">
      <w:pPr>
        <w:pStyle w:val="ListParagraph"/>
        <w:numPr>
          <w:ilvl w:val="2"/>
          <w:numId w:val="10"/>
        </w:numPr>
        <w:rPr>
          <w:rFonts w:ascii="Calibri" w:eastAsia="Calibri" w:hAnsi="Calibri" w:cs="Calibri"/>
        </w:rPr>
      </w:pPr>
      <w:r w:rsidRPr="46DED6E2">
        <w:rPr>
          <w:rFonts w:ascii="Calibri" w:eastAsia="Calibri" w:hAnsi="Calibri" w:cs="Calibri"/>
        </w:rPr>
        <w:t>The Transition Subcommittee of the SRC-B has requested the data on case closures specifically for student and youth 25 and under with successful and unsuccessful closures.</w:t>
      </w:r>
    </w:p>
    <w:p w14:paraId="1BFD4944" w14:textId="06F14619" w:rsidR="788180F7" w:rsidRDefault="788180F7">
      <w:pPr>
        <w:pStyle w:val="ListParagraph"/>
        <w:numPr>
          <w:ilvl w:val="2"/>
          <w:numId w:val="10"/>
        </w:numPr>
        <w:rPr>
          <w:rFonts w:ascii="Calibri" w:eastAsia="Calibri" w:hAnsi="Calibri" w:cs="Calibri"/>
        </w:rPr>
      </w:pPr>
      <w:r w:rsidRPr="46DED6E2">
        <w:rPr>
          <w:rFonts w:ascii="Calibri" w:eastAsia="Calibri" w:hAnsi="Calibri" w:cs="Calibri"/>
        </w:rPr>
        <w:t>When the data is received, the Transition Subcommittee will evaluate to identify factors that contribute to successful or unsuccessful outcomes.</w:t>
      </w:r>
    </w:p>
    <w:p w14:paraId="7E811FC6" w14:textId="5FE7C321" w:rsidR="788180F7" w:rsidRDefault="788180F7">
      <w:pPr>
        <w:pStyle w:val="ListParagraph"/>
        <w:numPr>
          <w:ilvl w:val="2"/>
          <w:numId w:val="10"/>
        </w:numPr>
        <w:rPr>
          <w:rFonts w:ascii="Calibri" w:eastAsia="Calibri" w:hAnsi="Calibri" w:cs="Calibri"/>
        </w:rPr>
      </w:pPr>
      <w:r w:rsidRPr="46DED6E2">
        <w:rPr>
          <w:rFonts w:ascii="Calibri" w:eastAsia="Calibri" w:hAnsi="Calibri" w:cs="Calibri"/>
        </w:rPr>
        <w:t>Based on the</w:t>
      </w:r>
      <w:r w:rsidR="0061453A">
        <w:rPr>
          <w:rFonts w:ascii="Calibri" w:eastAsia="Calibri" w:hAnsi="Calibri" w:cs="Calibri"/>
        </w:rPr>
        <w:t>se</w:t>
      </w:r>
      <w:r w:rsidRPr="46DED6E2">
        <w:rPr>
          <w:rFonts w:ascii="Calibri" w:eastAsia="Calibri" w:hAnsi="Calibri" w:cs="Calibri"/>
        </w:rPr>
        <w:t xml:space="preserve"> factors</w:t>
      </w:r>
      <w:r w:rsidR="0061453A">
        <w:rPr>
          <w:rFonts w:ascii="Calibri" w:eastAsia="Calibri" w:hAnsi="Calibri" w:cs="Calibri"/>
        </w:rPr>
        <w:t>,</w:t>
      </w:r>
      <w:r w:rsidRPr="46DED6E2">
        <w:rPr>
          <w:rFonts w:ascii="Calibri" w:eastAsia="Calibri" w:hAnsi="Calibri" w:cs="Calibri"/>
        </w:rPr>
        <w:t xml:space="preserve"> we will begin to develop strategies to address how better to ensure successful outcomes.</w:t>
      </w:r>
    </w:p>
    <w:p w14:paraId="0AFCF87D" w14:textId="171479F1" w:rsidR="46DED6E2" w:rsidRDefault="46DED6E2" w:rsidP="46DED6E2">
      <w:pPr>
        <w:rPr>
          <w:rFonts w:ascii="Calibri" w:eastAsia="Calibri" w:hAnsi="Calibri" w:cs="Calibri"/>
        </w:rPr>
      </w:pPr>
    </w:p>
    <w:p w14:paraId="474C5E1C" w14:textId="6D7AA072" w:rsidR="788180F7" w:rsidRDefault="788180F7" w:rsidP="46DED6E2">
      <w:pPr>
        <w:rPr>
          <w:rFonts w:ascii="Calibri" w:eastAsia="Calibri" w:hAnsi="Calibri" w:cs="Calibri"/>
          <w:b/>
          <w:bCs/>
        </w:rPr>
      </w:pPr>
      <w:bookmarkStart w:id="4" w:name="_Int_UV8cP6UD"/>
      <w:r w:rsidRPr="46DED6E2">
        <w:rPr>
          <w:rFonts w:ascii="Calibri" w:eastAsia="Calibri" w:hAnsi="Calibri" w:cs="Calibri"/>
        </w:rPr>
        <w:t xml:space="preserve">Review: </w:t>
      </w:r>
      <w:bookmarkEnd w:id="4"/>
    </w:p>
    <w:p w14:paraId="3FBD446A" w14:textId="7A118151"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These strategies were not implemented, and thus this has not been successfully completed. Due to SSB staffing changes and shifts in leadership of the committee, this work was unable to </w:t>
      </w:r>
      <w:r w:rsidR="00AA0010">
        <w:rPr>
          <w:rFonts w:ascii="Calibri" w:eastAsia="Calibri" w:hAnsi="Calibri" w:cs="Calibri"/>
        </w:rPr>
        <w:t>commence</w:t>
      </w:r>
      <w:r w:rsidRPr="46DED6E2">
        <w:rPr>
          <w:rFonts w:ascii="Calibri" w:eastAsia="Calibri" w:hAnsi="Calibri" w:cs="Calibri"/>
        </w:rPr>
        <w:t>. The committee still plans to move forward with the study</w:t>
      </w:r>
      <w:r w:rsidR="00AA0010">
        <w:rPr>
          <w:rFonts w:ascii="Calibri" w:eastAsia="Calibri" w:hAnsi="Calibri" w:cs="Calibri"/>
        </w:rPr>
        <w:t>,</w:t>
      </w:r>
      <w:r w:rsidRPr="46DED6E2">
        <w:rPr>
          <w:rFonts w:ascii="Calibri" w:eastAsia="Calibri" w:hAnsi="Calibri" w:cs="Calibri"/>
        </w:rPr>
        <w:t xml:space="preserve"> once the second SSB data analyst has been hired. </w:t>
      </w:r>
    </w:p>
    <w:p w14:paraId="6F2F7F7B" w14:textId="7F7C97AB" w:rsidR="788180F7" w:rsidRDefault="788180F7" w:rsidP="46DED6E2">
      <w:r w:rsidRPr="46DED6E2">
        <w:rPr>
          <w:rFonts w:ascii="Calibri" w:eastAsia="Calibri" w:hAnsi="Calibri" w:cs="Calibri"/>
        </w:rPr>
        <w:t xml:space="preserve"> </w:t>
      </w:r>
    </w:p>
    <w:p w14:paraId="019C1619" w14:textId="77E15ADB" w:rsidR="788180F7" w:rsidRPr="00C8757A" w:rsidRDefault="788180F7">
      <w:pPr>
        <w:pStyle w:val="ListParagraph"/>
        <w:numPr>
          <w:ilvl w:val="0"/>
          <w:numId w:val="10"/>
        </w:numPr>
        <w:tabs>
          <w:tab w:val="left" w:pos="360"/>
        </w:tabs>
        <w:ind w:left="360"/>
        <w:rPr>
          <w:rFonts w:ascii="Calibri" w:eastAsia="Calibri" w:hAnsi="Calibri" w:cs="Calibri"/>
          <w:b/>
          <w:bCs/>
          <w:u w:val="single"/>
        </w:rPr>
      </w:pPr>
      <w:r w:rsidRPr="00C8757A">
        <w:rPr>
          <w:rFonts w:ascii="Calibri" w:eastAsia="Calibri" w:hAnsi="Calibri" w:cs="Calibri"/>
          <w:b/>
          <w:bCs/>
          <w:u w:val="single"/>
        </w:rPr>
        <w:t xml:space="preserve">Priority: Staff Training and Development </w:t>
      </w:r>
    </w:p>
    <w:p w14:paraId="2B1A850A" w14:textId="5A52CD90" w:rsidR="46DED6E2" w:rsidRDefault="46DED6E2" w:rsidP="00C8757A">
      <w:pPr>
        <w:ind w:firstLine="360"/>
        <w:rPr>
          <w:rFonts w:ascii="Calibri" w:eastAsia="Calibri" w:hAnsi="Calibri" w:cs="Calibri"/>
        </w:rPr>
      </w:pPr>
    </w:p>
    <w:p w14:paraId="7BD4509A" w14:textId="3735C1E4" w:rsidR="788180F7" w:rsidRDefault="788180F7" w:rsidP="46DED6E2">
      <w:pPr>
        <w:rPr>
          <w:rFonts w:ascii="Calibri" w:eastAsia="Calibri" w:hAnsi="Calibri" w:cs="Calibri"/>
        </w:rPr>
      </w:pPr>
      <w:r w:rsidRPr="46DED6E2">
        <w:rPr>
          <w:rFonts w:ascii="Calibri" w:eastAsia="Calibri" w:hAnsi="Calibri" w:cs="Calibri"/>
        </w:rPr>
        <w:t>Strategies:</w:t>
      </w:r>
    </w:p>
    <w:p w14:paraId="3938475C" w14:textId="0FA9CBEA" w:rsidR="46DED6E2" w:rsidRDefault="46DED6E2" w:rsidP="46DED6E2">
      <w:pPr>
        <w:rPr>
          <w:rFonts w:ascii="Calibri" w:eastAsia="Calibri" w:hAnsi="Calibri" w:cs="Calibri"/>
        </w:rPr>
      </w:pPr>
    </w:p>
    <w:p w14:paraId="1BBB4E6B" w14:textId="091ECC34" w:rsidR="788180F7" w:rsidRDefault="788180F7" w:rsidP="46DED6E2">
      <w:pPr>
        <w:pStyle w:val="ListParagraph"/>
        <w:numPr>
          <w:ilvl w:val="0"/>
          <w:numId w:val="2"/>
        </w:numPr>
        <w:tabs>
          <w:tab w:val="left" w:pos="270"/>
        </w:tabs>
        <w:rPr>
          <w:rFonts w:ascii="Calibri" w:eastAsia="Calibri" w:hAnsi="Calibri" w:cs="Calibri"/>
        </w:rPr>
      </w:pPr>
      <w:r w:rsidRPr="46DED6E2">
        <w:rPr>
          <w:rFonts w:ascii="Calibri" w:eastAsia="Calibri" w:hAnsi="Calibri" w:cs="Calibri"/>
        </w:rPr>
        <w:t>Provide a comprehensive and structured training curriculum for new employee onboarding and ongoing staff training by the designated trainer.</w:t>
      </w:r>
    </w:p>
    <w:p w14:paraId="7059A207" w14:textId="2C8BFBD1" w:rsidR="46DED6E2" w:rsidRDefault="46DED6E2" w:rsidP="46DED6E2">
      <w:pPr>
        <w:tabs>
          <w:tab w:val="left" w:pos="270"/>
        </w:tabs>
        <w:rPr>
          <w:rFonts w:ascii="Calibri" w:eastAsia="Calibri" w:hAnsi="Calibri" w:cs="Calibri"/>
        </w:rPr>
      </w:pPr>
    </w:p>
    <w:p w14:paraId="4066174D" w14:textId="03786FC0" w:rsidR="788180F7" w:rsidRDefault="788180F7" w:rsidP="46DED6E2">
      <w:pPr>
        <w:pStyle w:val="ListParagraph"/>
        <w:numPr>
          <w:ilvl w:val="1"/>
          <w:numId w:val="1"/>
        </w:numPr>
        <w:rPr>
          <w:rFonts w:ascii="Calibri" w:eastAsia="Calibri" w:hAnsi="Calibri" w:cs="Calibri"/>
        </w:rPr>
      </w:pPr>
      <w:r w:rsidRPr="46DED6E2">
        <w:rPr>
          <w:rFonts w:ascii="Calibri" w:eastAsia="Calibri" w:hAnsi="Calibri" w:cs="Calibri"/>
        </w:rPr>
        <w:t>The designated trainer is developing the comprehensive and structured training curriculum for new employee onboarding and ongoing staff training. Expected outcomes are:</w:t>
      </w:r>
    </w:p>
    <w:p w14:paraId="28AF9761" w14:textId="7230DBB2" w:rsidR="46DED6E2" w:rsidRDefault="46DED6E2" w:rsidP="46DED6E2">
      <w:pPr>
        <w:rPr>
          <w:rFonts w:ascii="Calibri" w:eastAsia="Calibri" w:hAnsi="Calibri" w:cs="Calibri"/>
        </w:rPr>
      </w:pPr>
    </w:p>
    <w:p w14:paraId="029580E5" w14:textId="1C78C123" w:rsidR="788180F7" w:rsidRDefault="788180F7" w:rsidP="004B578D">
      <w:pPr>
        <w:pStyle w:val="ListParagraph"/>
        <w:numPr>
          <w:ilvl w:val="0"/>
          <w:numId w:val="4"/>
        </w:numPr>
        <w:tabs>
          <w:tab w:val="left" w:pos="1890"/>
          <w:tab w:val="left" w:pos="1980"/>
        </w:tabs>
        <w:ind w:left="1890" w:hanging="450"/>
        <w:rPr>
          <w:rFonts w:ascii="Calibri" w:eastAsia="Calibri" w:hAnsi="Calibri" w:cs="Calibri"/>
        </w:rPr>
      </w:pPr>
      <w:r w:rsidRPr="46DED6E2">
        <w:rPr>
          <w:rFonts w:ascii="Calibri" w:eastAsia="Calibri" w:hAnsi="Calibri" w:cs="Calibri"/>
        </w:rPr>
        <w:t>On boarding and training packages specific to each role that make up the Workforce Development Unit (WDU)</w:t>
      </w:r>
    </w:p>
    <w:p w14:paraId="2406B9B1" w14:textId="65FB3E30" w:rsidR="788180F7" w:rsidRDefault="788180F7" w:rsidP="005C2BAA">
      <w:pPr>
        <w:pStyle w:val="ListParagraph"/>
        <w:numPr>
          <w:ilvl w:val="0"/>
          <w:numId w:val="4"/>
        </w:numPr>
        <w:ind w:left="1890" w:hanging="450"/>
        <w:rPr>
          <w:rFonts w:ascii="Calibri" w:eastAsia="Calibri" w:hAnsi="Calibri" w:cs="Calibri"/>
        </w:rPr>
      </w:pPr>
      <w:r w:rsidRPr="46DED6E2">
        <w:rPr>
          <w:rFonts w:ascii="Calibri" w:eastAsia="Calibri" w:hAnsi="Calibri" w:cs="Calibri"/>
        </w:rPr>
        <w:t>An annual training and development schedule for the WDU as a whole and for specific unit roles and functions</w:t>
      </w:r>
    </w:p>
    <w:p w14:paraId="63FB5BF7" w14:textId="3E610791" w:rsidR="788180F7" w:rsidRDefault="788180F7" w:rsidP="005C2BAA">
      <w:pPr>
        <w:pStyle w:val="ListParagraph"/>
        <w:numPr>
          <w:ilvl w:val="0"/>
          <w:numId w:val="4"/>
        </w:numPr>
        <w:ind w:left="1890" w:hanging="450"/>
        <w:rPr>
          <w:rFonts w:ascii="Calibri" w:eastAsia="Calibri" w:hAnsi="Calibri" w:cs="Calibri"/>
        </w:rPr>
      </w:pPr>
      <w:r w:rsidRPr="46DED6E2">
        <w:rPr>
          <w:rFonts w:ascii="Calibri" w:eastAsia="Calibri" w:hAnsi="Calibri" w:cs="Calibri"/>
        </w:rPr>
        <w:t>Acquiring data about training effectiveness and adjusting as needed</w:t>
      </w:r>
    </w:p>
    <w:p w14:paraId="23B22ECD" w14:textId="5D96EF08" w:rsidR="46DED6E2" w:rsidRDefault="46DED6E2" w:rsidP="46DED6E2">
      <w:pPr>
        <w:rPr>
          <w:rFonts w:ascii="Calibri" w:eastAsia="Calibri" w:hAnsi="Calibri" w:cs="Calibri"/>
        </w:rPr>
      </w:pPr>
    </w:p>
    <w:p w14:paraId="27E9FC94" w14:textId="15244715" w:rsidR="788180F7" w:rsidRDefault="788180F7" w:rsidP="46DED6E2">
      <w:r w:rsidRPr="46DED6E2">
        <w:rPr>
          <w:rFonts w:ascii="Calibri" w:eastAsia="Calibri" w:hAnsi="Calibri" w:cs="Calibri"/>
        </w:rPr>
        <w:t>Review:</w:t>
      </w:r>
    </w:p>
    <w:p w14:paraId="0AAB7DC7" w14:textId="0284C7AC"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SSB hired a dedicated staff development specialist, who oversees our annual training plan, as well as ad-hoc and on-demand training. Our trainer has improved the existing onboarding training, creating a robust and comprehensive onboarding for all new WDU staff. Counselor and VR-Tech training plans have been </w:t>
      </w:r>
      <w:r w:rsidR="002B6EFA">
        <w:rPr>
          <w:rFonts w:ascii="Calibri" w:eastAsia="Calibri" w:hAnsi="Calibri" w:cs="Calibri"/>
        </w:rPr>
        <w:t>built</w:t>
      </w:r>
      <w:r w:rsidR="002B6EFA" w:rsidRPr="46DED6E2">
        <w:rPr>
          <w:rFonts w:ascii="Calibri" w:eastAsia="Calibri" w:hAnsi="Calibri" w:cs="Calibri"/>
        </w:rPr>
        <w:t xml:space="preserve"> </w:t>
      </w:r>
      <w:r w:rsidRPr="46DED6E2">
        <w:rPr>
          <w:rFonts w:ascii="Calibri" w:eastAsia="Calibri" w:hAnsi="Calibri" w:cs="Calibri"/>
        </w:rPr>
        <w:t xml:space="preserve">along with plans geared more toward the other roles in WDU and other units that require a less comprehensive training. </w:t>
      </w:r>
    </w:p>
    <w:p w14:paraId="3563CE56" w14:textId="2CE73AFA" w:rsidR="46DED6E2" w:rsidRDefault="46DED6E2" w:rsidP="46DED6E2">
      <w:pPr>
        <w:spacing w:line="259" w:lineRule="auto"/>
        <w:rPr>
          <w:rFonts w:ascii="Calibri" w:eastAsia="Calibri" w:hAnsi="Calibri" w:cs="Calibri"/>
        </w:rPr>
      </w:pPr>
    </w:p>
    <w:p w14:paraId="2808A295" w14:textId="69A5A2A5"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The trainer has also </w:t>
      </w:r>
      <w:r w:rsidR="00A21B5B">
        <w:rPr>
          <w:rFonts w:ascii="Calibri" w:eastAsia="Calibri" w:hAnsi="Calibri" w:cs="Calibri"/>
        </w:rPr>
        <w:t>constructed</w:t>
      </w:r>
      <w:r w:rsidR="00916B85" w:rsidRPr="46DED6E2">
        <w:rPr>
          <w:rFonts w:ascii="Calibri" w:eastAsia="Calibri" w:hAnsi="Calibri" w:cs="Calibri"/>
        </w:rPr>
        <w:t xml:space="preserve"> </w:t>
      </w:r>
      <w:r w:rsidRPr="46DED6E2">
        <w:rPr>
          <w:rFonts w:ascii="Calibri" w:eastAsia="Calibri" w:hAnsi="Calibri" w:cs="Calibri"/>
        </w:rPr>
        <w:t xml:space="preserve">an annual training plan to ensure unit staff are receiving the training </w:t>
      </w:r>
      <w:r w:rsidR="00586A69" w:rsidRPr="46DED6E2">
        <w:rPr>
          <w:rFonts w:ascii="Calibri" w:eastAsia="Calibri" w:hAnsi="Calibri" w:cs="Calibri"/>
        </w:rPr>
        <w:t xml:space="preserve">necessary </w:t>
      </w:r>
      <w:r w:rsidRPr="46DED6E2">
        <w:rPr>
          <w:rFonts w:ascii="Calibri" w:eastAsia="Calibri" w:hAnsi="Calibri" w:cs="Calibri"/>
        </w:rPr>
        <w:t>to continue to do their work and develop in their roles. This includes monthly counselor only training sessions that focus on topics specific to counselors and provide counselors a venue to collaborate with one another regularly. At times, training topics may be relevant to other unit roles, and the staff in those roles are invited to attend those sessions.</w:t>
      </w:r>
    </w:p>
    <w:p w14:paraId="0DD4EFA9" w14:textId="5747BD8F" w:rsidR="46DED6E2" w:rsidRDefault="46DED6E2" w:rsidP="46DED6E2">
      <w:pPr>
        <w:spacing w:line="259" w:lineRule="auto"/>
        <w:rPr>
          <w:rFonts w:ascii="Calibri" w:eastAsia="Calibri" w:hAnsi="Calibri" w:cs="Calibri"/>
        </w:rPr>
      </w:pPr>
    </w:p>
    <w:p w14:paraId="733E980F" w14:textId="7953C62F"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Additionally, there is a training newsletter that goes out weekly and identifies training opportunities that may be valuable to unit staff. </w:t>
      </w:r>
    </w:p>
    <w:p w14:paraId="23A4B474" w14:textId="465022EE" w:rsidR="46DED6E2" w:rsidRDefault="46DED6E2" w:rsidP="46DED6E2">
      <w:pPr>
        <w:spacing w:line="259" w:lineRule="auto"/>
        <w:rPr>
          <w:rFonts w:ascii="Calibri" w:eastAsia="Calibri" w:hAnsi="Calibri" w:cs="Calibri"/>
        </w:rPr>
      </w:pPr>
    </w:p>
    <w:p w14:paraId="02CE2026" w14:textId="27DBA5B7"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We have been able to procure the YesLMS platform, which houses all of our training. YesLMS puts together content for us </w:t>
      </w:r>
      <w:r w:rsidR="00C946BA">
        <w:rPr>
          <w:rFonts w:ascii="Calibri" w:eastAsia="Calibri" w:hAnsi="Calibri" w:cs="Calibri"/>
        </w:rPr>
        <w:t>which we can modify</w:t>
      </w:r>
      <w:r w:rsidRPr="46DED6E2">
        <w:rPr>
          <w:rFonts w:ascii="Calibri" w:eastAsia="Calibri" w:hAnsi="Calibri" w:cs="Calibri"/>
        </w:rPr>
        <w:t xml:space="preserve"> to meet our needs</w:t>
      </w:r>
      <w:r w:rsidR="003E3EA5">
        <w:rPr>
          <w:rFonts w:ascii="Calibri" w:eastAsia="Calibri" w:hAnsi="Calibri" w:cs="Calibri"/>
        </w:rPr>
        <w:t>,</w:t>
      </w:r>
      <w:r w:rsidRPr="46DED6E2">
        <w:rPr>
          <w:rFonts w:ascii="Calibri" w:eastAsia="Calibri" w:hAnsi="Calibri" w:cs="Calibri"/>
        </w:rPr>
        <w:t xml:space="preserve"> or upload our own. CEUs are available for many of them.</w:t>
      </w:r>
    </w:p>
    <w:p w14:paraId="2B8F70E8" w14:textId="7176E3B0" w:rsidR="46DED6E2" w:rsidRDefault="46DED6E2" w:rsidP="46DED6E2">
      <w:pPr>
        <w:spacing w:line="259" w:lineRule="auto"/>
        <w:rPr>
          <w:rFonts w:ascii="Calibri" w:eastAsia="Calibri" w:hAnsi="Calibri" w:cs="Calibri"/>
        </w:rPr>
      </w:pPr>
    </w:p>
    <w:p w14:paraId="353414A6" w14:textId="47B2E277" w:rsidR="788180F7" w:rsidRDefault="788180F7" w:rsidP="46DED6E2">
      <w:r w:rsidRPr="46DED6E2">
        <w:rPr>
          <w:rFonts w:ascii="Calibri" w:eastAsia="Calibri" w:hAnsi="Calibri" w:cs="Calibri"/>
        </w:rPr>
        <w:t>We have successfully completed this strategy.</w:t>
      </w:r>
    </w:p>
    <w:p w14:paraId="183C7E23" w14:textId="0C313155" w:rsidR="46DED6E2" w:rsidRDefault="46DED6E2" w:rsidP="46DED6E2">
      <w:pPr>
        <w:rPr>
          <w:rFonts w:ascii="Calibri" w:eastAsia="Calibri" w:hAnsi="Calibri" w:cs="Calibri"/>
        </w:rPr>
      </w:pPr>
    </w:p>
    <w:p w14:paraId="5994FE4D" w14:textId="255CBD63" w:rsidR="788180F7" w:rsidRDefault="788180F7">
      <w:pPr>
        <w:pStyle w:val="ListParagraph"/>
        <w:numPr>
          <w:ilvl w:val="1"/>
          <w:numId w:val="10"/>
        </w:numPr>
        <w:rPr>
          <w:rFonts w:ascii="Calibri" w:eastAsia="Calibri" w:hAnsi="Calibri" w:cs="Calibri"/>
        </w:rPr>
      </w:pPr>
      <w:r w:rsidRPr="46DED6E2">
        <w:rPr>
          <w:rFonts w:ascii="Calibri" w:eastAsia="Calibri" w:hAnsi="Calibri" w:cs="Calibri"/>
        </w:rPr>
        <w:t>Increase the level of awareness of the importance of timely communication with customers in response to customer comments on the Customer Satisfaction Survey (CSS)</w:t>
      </w:r>
    </w:p>
    <w:p w14:paraId="10D99318" w14:textId="3C467681" w:rsidR="46DED6E2" w:rsidRDefault="46DED6E2" w:rsidP="46DED6E2">
      <w:pPr>
        <w:rPr>
          <w:rFonts w:ascii="Calibri" w:eastAsia="Calibri" w:hAnsi="Calibri" w:cs="Calibri"/>
        </w:rPr>
      </w:pPr>
    </w:p>
    <w:p w14:paraId="5D2569D0" w14:textId="7AC6195D" w:rsidR="788180F7" w:rsidRDefault="788180F7">
      <w:pPr>
        <w:pStyle w:val="ListParagraph"/>
        <w:numPr>
          <w:ilvl w:val="2"/>
          <w:numId w:val="10"/>
        </w:numPr>
        <w:rPr>
          <w:rFonts w:ascii="Calibri" w:eastAsia="Calibri" w:hAnsi="Calibri" w:cs="Calibri"/>
        </w:rPr>
      </w:pPr>
      <w:r w:rsidRPr="46DED6E2">
        <w:rPr>
          <w:rFonts w:ascii="Calibri" w:eastAsia="Calibri" w:hAnsi="Calibri" w:cs="Calibri"/>
        </w:rPr>
        <w:t>The Customer Outcomes and Goals &amp; Priorities Committee, together with SSB staff, will monitor the frequency of comments on subsequent surveys.</w:t>
      </w:r>
    </w:p>
    <w:p w14:paraId="56C35A83" w14:textId="592EC8D7" w:rsidR="788180F7" w:rsidRDefault="788180F7">
      <w:pPr>
        <w:pStyle w:val="ListParagraph"/>
        <w:numPr>
          <w:ilvl w:val="2"/>
          <w:numId w:val="10"/>
        </w:numPr>
        <w:rPr>
          <w:rFonts w:ascii="Calibri" w:eastAsia="Calibri" w:hAnsi="Calibri" w:cs="Calibri"/>
        </w:rPr>
      </w:pPr>
      <w:r w:rsidRPr="46DED6E2">
        <w:rPr>
          <w:rFonts w:ascii="Calibri" w:eastAsia="Calibri" w:hAnsi="Calibri" w:cs="Calibri"/>
        </w:rPr>
        <w:t>SSB staff will investigate other internal controls that could be useful in identifying any communication timeliness problems.</w:t>
      </w:r>
    </w:p>
    <w:p w14:paraId="61F376E5" w14:textId="07AD6920" w:rsidR="46DED6E2" w:rsidRDefault="46DED6E2" w:rsidP="46DED6E2">
      <w:pPr>
        <w:spacing w:line="259" w:lineRule="auto"/>
        <w:rPr>
          <w:rFonts w:ascii="Calibri" w:eastAsia="Calibri" w:hAnsi="Calibri" w:cs="Calibri"/>
        </w:rPr>
      </w:pPr>
    </w:p>
    <w:p w14:paraId="675FAE21" w14:textId="7610DD8D" w:rsidR="788180F7" w:rsidRDefault="788180F7" w:rsidP="46DED6E2">
      <w:pPr>
        <w:spacing w:line="259" w:lineRule="auto"/>
        <w:rPr>
          <w:rFonts w:ascii="Calibri" w:eastAsia="Calibri" w:hAnsi="Calibri" w:cs="Calibri"/>
        </w:rPr>
      </w:pPr>
      <w:r w:rsidRPr="46DED6E2">
        <w:rPr>
          <w:rFonts w:ascii="Calibri" w:eastAsia="Calibri" w:hAnsi="Calibri" w:cs="Calibri"/>
        </w:rPr>
        <w:t xml:space="preserve">Review: </w:t>
      </w:r>
    </w:p>
    <w:p w14:paraId="012D140C" w14:textId="675B865A" w:rsidR="788180F7" w:rsidRDefault="788180F7">
      <w:r w:rsidRPr="46DED6E2">
        <w:rPr>
          <w:rFonts w:ascii="Calibri" w:eastAsia="Calibri" w:hAnsi="Calibri" w:cs="Calibri"/>
        </w:rPr>
        <w:t xml:space="preserve">Each year when the results of the annual customer satisfaction survey are released, SSB leadership reviews every </w:t>
      </w:r>
      <w:r w:rsidR="00E636AA">
        <w:rPr>
          <w:rFonts w:ascii="Calibri" w:eastAsia="Calibri" w:hAnsi="Calibri" w:cs="Calibri"/>
        </w:rPr>
        <w:t xml:space="preserve">individual </w:t>
      </w:r>
      <w:r w:rsidRPr="46DED6E2">
        <w:rPr>
          <w:rFonts w:ascii="Calibri" w:eastAsia="Calibri" w:hAnsi="Calibri" w:cs="Calibri"/>
        </w:rPr>
        <w:t xml:space="preserve">comment. While timeliness in communication continues to be a frequently referenced issue, it appears to be targeted toward only one or two specific staff and not the entire work unit. For that reason, we have been able to address those instances on a </w:t>
      </w:r>
      <w:r w:rsidR="4AA83CFC" w:rsidRPr="46DED6E2">
        <w:rPr>
          <w:rFonts w:ascii="Calibri" w:eastAsia="Calibri" w:hAnsi="Calibri" w:cs="Calibri"/>
        </w:rPr>
        <w:t>case-by-case</w:t>
      </w:r>
      <w:r w:rsidRPr="46DED6E2">
        <w:rPr>
          <w:rFonts w:ascii="Calibri" w:eastAsia="Calibri" w:hAnsi="Calibri" w:cs="Calibri"/>
        </w:rPr>
        <w:t xml:space="preserve"> basis. Overall, due to steps we have taken</w:t>
      </w:r>
      <w:r w:rsidR="00BE21A3">
        <w:rPr>
          <w:rFonts w:ascii="Calibri" w:eastAsia="Calibri" w:hAnsi="Calibri" w:cs="Calibri"/>
        </w:rPr>
        <w:t>,</w:t>
      </w:r>
      <w:r w:rsidRPr="46DED6E2">
        <w:rPr>
          <w:rFonts w:ascii="Calibri" w:eastAsia="Calibri" w:hAnsi="Calibri" w:cs="Calibri"/>
        </w:rPr>
        <w:t xml:space="preserve"> and continue to take</w:t>
      </w:r>
      <w:r w:rsidR="00BE21A3">
        <w:rPr>
          <w:rFonts w:ascii="Calibri" w:eastAsia="Calibri" w:hAnsi="Calibri" w:cs="Calibri"/>
        </w:rPr>
        <w:t>,</w:t>
      </w:r>
      <w:r w:rsidRPr="46DED6E2">
        <w:rPr>
          <w:rFonts w:ascii="Calibri" w:eastAsia="Calibri" w:hAnsi="Calibri" w:cs="Calibri"/>
        </w:rPr>
        <w:t xml:space="preserve"> to reduce administrative burden on staff, we see </w:t>
      </w:r>
      <w:r w:rsidR="00BE21A3">
        <w:rPr>
          <w:rFonts w:ascii="Calibri" w:eastAsia="Calibri" w:hAnsi="Calibri" w:cs="Calibri"/>
        </w:rPr>
        <w:t>fewer</w:t>
      </w:r>
      <w:r w:rsidR="00BE21A3" w:rsidRPr="46DED6E2">
        <w:rPr>
          <w:rFonts w:ascii="Calibri" w:eastAsia="Calibri" w:hAnsi="Calibri" w:cs="Calibri"/>
        </w:rPr>
        <w:t xml:space="preserve"> </w:t>
      </w:r>
      <w:r w:rsidRPr="46DED6E2">
        <w:rPr>
          <w:rFonts w:ascii="Calibri" w:eastAsia="Calibri" w:hAnsi="Calibri" w:cs="Calibri"/>
        </w:rPr>
        <w:t xml:space="preserve">complaints about communication responsiveness. Staff turnover was another major factor in communication timeliness. At one point, we were down several counselors and VR-Techs, and we had a turnover rate of more than 30%. At the time of this review of our goals and priorities, we are almost fully staffed </w:t>
      </w:r>
      <w:r w:rsidR="007C4D1B">
        <w:rPr>
          <w:rFonts w:ascii="Calibri" w:eastAsia="Calibri" w:hAnsi="Calibri" w:cs="Calibri"/>
        </w:rPr>
        <w:t>and have</w:t>
      </w:r>
      <w:r w:rsidR="007C4D1B" w:rsidRPr="46DED6E2">
        <w:rPr>
          <w:rFonts w:ascii="Calibri" w:eastAsia="Calibri" w:hAnsi="Calibri" w:cs="Calibri"/>
        </w:rPr>
        <w:t xml:space="preserve"> </w:t>
      </w:r>
      <w:r w:rsidRPr="46DED6E2">
        <w:rPr>
          <w:rFonts w:ascii="Calibri" w:eastAsia="Calibri" w:hAnsi="Calibri" w:cs="Calibri"/>
        </w:rPr>
        <w:t xml:space="preserve">less than 5% turnover. Caseloads are at an average of 45, and we have no counselor vacancies. </w:t>
      </w:r>
    </w:p>
    <w:p w14:paraId="71409439" w14:textId="4C94E539" w:rsidR="788180F7" w:rsidRDefault="788180F7">
      <w:r w:rsidRPr="46DED6E2">
        <w:rPr>
          <w:rFonts w:ascii="Calibri" w:eastAsia="Calibri" w:hAnsi="Calibri" w:cs="Calibri"/>
        </w:rPr>
        <w:t xml:space="preserve"> </w:t>
      </w:r>
    </w:p>
    <w:p w14:paraId="45499CE9" w14:textId="682756E9" w:rsidR="788180F7" w:rsidRDefault="788180F7">
      <w:r w:rsidRPr="46DED6E2">
        <w:rPr>
          <w:rFonts w:ascii="Calibri" w:eastAsia="Calibri" w:hAnsi="Calibri" w:cs="Calibri"/>
        </w:rPr>
        <w:t xml:space="preserve">We also have </w:t>
      </w:r>
      <w:bookmarkStart w:id="5" w:name="_Int_e9vNNOgR"/>
      <w:r w:rsidRPr="46DED6E2">
        <w:rPr>
          <w:rFonts w:ascii="Calibri" w:eastAsia="Calibri" w:hAnsi="Calibri" w:cs="Calibri"/>
        </w:rPr>
        <w:t>a number of</w:t>
      </w:r>
      <w:bookmarkEnd w:id="5"/>
      <w:r w:rsidRPr="46DED6E2">
        <w:rPr>
          <w:rFonts w:ascii="Calibri" w:eastAsia="Calibri" w:hAnsi="Calibri" w:cs="Calibri"/>
        </w:rPr>
        <w:t xml:space="preserve"> internal controls in place to monitor this </w:t>
      </w:r>
      <w:r w:rsidR="00AF678F">
        <w:rPr>
          <w:rFonts w:ascii="Calibri" w:eastAsia="Calibri" w:hAnsi="Calibri" w:cs="Calibri"/>
        </w:rPr>
        <w:t xml:space="preserve">data </w:t>
      </w:r>
      <w:r w:rsidRPr="46DED6E2">
        <w:rPr>
          <w:rFonts w:ascii="Calibri" w:eastAsia="Calibri" w:hAnsi="Calibri" w:cs="Calibri"/>
        </w:rPr>
        <w:t xml:space="preserve">on an ongoing basis. </w:t>
      </w:r>
    </w:p>
    <w:p w14:paraId="2734674F" w14:textId="6AA4194C" w:rsidR="788180F7" w:rsidRDefault="788180F7">
      <w:r w:rsidRPr="46DED6E2">
        <w:rPr>
          <w:rFonts w:ascii="Calibri" w:eastAsia="Calibri" w:hAnsi="Calibri" w:cs="Calibri"/>
        </w:rPr>
        <w:t xml:space="preserve"> </w:t>
      </w:r>
    </w:p>
    <w:p w14:paraId="04F87FFA" w14:textId="732AF5A4" w:rsidR="788180F7" w:rsidRDefault="788180F7">
      <w:r w:rsidRPr="46DED6E2">
        <w:rPr>
          <w:rFonts w:ascii="Calibri" w:eastAsia="Calibri" w:hAnsi="Calibri" w:cs="Calibri"/>
          <w:b/>
          <w:bCs/>
        </w:rPr>
        <w:t xml:space="preserve">Timely communication in internal controls via caseload reviews </w:t>
      </w:r>
    </w:p>
    <w:p w14:paraId="08144068" w14:textId="1AA6D323" w:rsidR="788180F7" w:rsidRDefault="788180F7">
      <w:r w:rsidRPr="46DED6E2">
        <w:rPr>
          <w:rFonts w:ascii="Calibri" w:eastAsia="Calibri" w:hAnsi="Calibri" w:cs="Calibri"/>
        </w:rPr>
        <w:t xml:space="preserve"> </w:t>
      </w:r>
    </w:p>
    <w:p w14:paraId="795114DC" w14:textId="0328CA9E" w:rsidR="788180F7" w:rsidRDefault="788180F7" w:rsidP="46DED6E2">
      <w:pPr>
        <w:rPr>
          <w:rFonts w:ascii="Calibri" w:eastAsia="Calibri" w:hAnsi="Calibri" w:cs="Calibri"/>
          <w:b/>
          <w:bCs/>
        </w:rPr>
      </w:pPr>
      <w:bookmarkStart w:id="6" w:name="_Int_gKNqHh3X"/>
      <w:r w:rsidRPr="46DED6E2">
        <w:rPr>
          <w:rFonts w:ascii="Calibri" w:eastAsia="Calibri" w:hAnsi="Calibri" w:cs="Calibri"/>
          <w:u w:val="single"/>
        </w:rPr>
        <w:t xml:space="preserve">Internal control: </w:t>
      </w:r>
      <w:bookmarkEnd w:id="6"/>
    </w:p>
    <w:p w14:paraId="283EBD39" w14:textId="1A5AF103" w:rsidR="788180F7" w:rsidRDefault="788180F7">
      <w:r w:rsidRPr="46DED6E2">
        <w:rPr>
          <w:rFonts w:ascii="Calibri" w:eastAsia="Calibri" w:hAnsi="Calibri" w:cs="Calibri"/>
        </w:rPr>
        <w:t>Every caseload review includes the date of the last live contact each customer had with SSB, as well as the date that the next live contact is due (the 90-day mark)</w:t>
      </w:r>
      <w:r w:rsidR="00511ED5">
        <w:rPr>
          <w:rFonts w:ascii="Calibri" w:eastAsia="Calibri" w:hAnsi="Calibri" w:cs="Calibri"/>
        </w:rPr>
        <w:t>,</w:t>
      </w:r>
      <w:r w:rsidRPr="46DED6E2">
        <w:rPr>
          <w:rFonts w:ascii="Calibri" w:eastAsia="Calibri" w:hAnsi="Calibri" w:cs="Calibri"/>
        </w:rPr>
        <w:t xml:space="preserve"> if it’s within the next 30 days.  The dates under ‘Next Live Contact’ might be highlighted (or noted for those with a visual impairment) yellow or red - yellow indicating the next live contact due date is coming up within the next month, or red indicating that the due date has </w:t>
      </w:r>
      <w:r w:rsidR="00511ED5" w:rsidRPr="46DED6E2">
        <w:rPr>
          <w:rFonts w:ascii="Calibri" w:eastAsia="Calibri" w:hAnsi="Calibri" w:cs="Calibri"/>
        </w:rPr>
        <w:t>passed,</w:t>
      </w:r>
      <w:r w:rsidRPr="46DED6E2">
        <w:rPr>
          <w:rFonts w:ascii="Calibri" w:eastAsia="Calibri" w:hAnsi="Calibri" w:cs="Calibri"/>
        </w:rPr>
        <w:t xml:space="preserve"> and we did not make live contact with the customer within 90 days of the last live contact.  However, even if a due date is red, a counselor may have still made attempted contacts which is always noted for the counselor and supervisor to see.  Any concerns that are identified, including a lot of past due dates </w:t>
      </w:r>
      <w:r w:rsidRPr="46DED6E2">
        <w:rPr>
          <w:rFonts w:ascii="Calibri" w:eastAsia="Calibri" w:hAnsi="Calibri" w:cs="Calibri"/>
          <w:i/>
          <w:iCs/>
        </w:rPr>
        <w:t>without</w:t>
      </w:r>
      <w:r w:rsidRPr="46DED6E2">
        <w:rPr>
          <w:rFonts w:ascii="Calibri" w:eastAsia="Calibri" w:hAnsi="Calibri" w:cs="Calibri"/>
        </w:rPr>
        <w:t xml:space="preserve"> attempted contacts, are emailed to the supervisor who is asked to review the report with the counselor.  </w:t>
      </w:r>
    </w:p>
    <w:p w14:paraId="7CEAFAF2" w14:textId="27AA432A" w:rsidR="788180F7" w:rsidRDefault="788180F7">
      <w:r w:rsidRPr="46DED6E2">
        <w:rPr>
          <w:rFonts w:ascii="Calibri" w:eastAsia="Calibri" w:hAnsi="Calibri" w:cs="Calibri"/>
        </w:rPr>
        <w:t xml:space="preserve"> </w:t>
      </w:r>
    </w:p>
    <w:p w14:paraId="410F3F2D" w14:textId="1B97CEDB" w:rsidR="788180F7" w:rsidRDefault="788180F7" w:rsidP="46DED6E2">
      <w:pPr>
        <w:rPr>
          <w:rFonts w:ascii="Calibri" w:eastAsia="Calibri" w:hAnsi="Calibri" w:cs="Calibri"/>
          <w:b/>
          <w:bCs/>
        </w:rPr>
      </w:pPr>
      <w:bookmarkStart w:id="7" w:name="_Int_3BwGcB1c"/>
      <w:r w:rsidRPr="46DED6E2">
        <w:rPr>
          <w:rFonts w:ascii="Calibri" w:eastAsia="Calibri" w:hAnsi="Calibri" w:cs="Calibri"/>
          <w:u w:val="single"/>
        </w:rPr>
        <w:t xml:space="preserve">Trends: </w:t>
      </w:r>
      <w:bookmarkEnd w:id="7"/>
    </w:p>
    <w:p w14:paraId="69B83A75" w14:textId="4EAA0DB5" w:rsidR="788180F7" w:rsidRDefault="788180F7">
      <w:r w:rsidRPr="46DED6E2">
        <w:rPr>
          <w:rFonts w:ascii="Calibri" w:eastAsia="Calibri" w:hAnsi="Calibri" w:cs="Calibri"/>
        </w:rPr>
        <w:t xml:space="preserve">We have not seen any overall trends or changes in this area.  Counselors are </w:t>
      </w:r>
      <w:r w:rsidR="00F30785">
        <w:rPr>
          <w:rFonts w:ascii="Calibri" w:eastAsia="Calibri" w:hAnsi="Calibri" w:cs="Calibri"/>
        </w:rPr>
        <w:t>primarily</w:t>
      </w:r>
      <w:r w:rsidR="008E012C" w:rsidRPr="46DED6E2">
        <w:rPr>
          <w:rFonts w:ascii="Calibri" w:eastAsia="Calibri" w:hAnsi="Calibri" w:cs="Calibri"/>
        </w:rPr>
        <w:t xml:space="preserve"> </w:t>
      </w:r>
      <w:r w:rsidRPr="46DED6E2">
        <w:rPr>
          <w:rFonts w:ascii="Calibri" w:eastAsia="Calibri" w:hAnsi="Calibri" w:cs="Calibri"/>
        </w:rPr>
        <w:t xml:space="preserve">consistent in how much red or yellow they have on their individual caseload reviews, whether that’s a lot or none at all.  </w:t>
      </w:r>
    </w:p>
    <w:p w14:paraId="5CE47BE3" w14:textId="07FFD789" w:rsidR="788180F7" w:rsidRDefault="788180F7">
      <w:r w:rsidRPr="46DED6E2">
        <w:rPr>
          <w:rFonts w:ascii="Calibri" w:eastAsia="Calibri" w:hAnsi="Calibri" w:cs="Calibri"/>
        </w:rPr>
        <w:t xml:space="preserve"> </w:t>
      </w:r>
    </w:p>
    <w:p w14:paraId="4D8E84D3" w14:textId="290ACB44" w:rsidR="788180F7" w:rsidRDefault="788180F7">
      <w:r w:rsidRPr="46DED6E2">
        <w:rPr>
          <w:rFonts w:ascii="Calibri" w:eastAsia="Calibri" w:hAnsi="Calibri" w:cs="Calibri"/>
          <w:b/>
          <w:bCs/>
        </w:rPr>
        <w:t xml:space="preserve">Timely communication in internal controls via intensive case reviews </w:t>
      </w:r>
    </w:p>
    <w:p w14:paraId="7BDF19FA" w14:textId="39B3FE50" w:rsidR="788180F7" w:rsidRDefault="788180F7">
      <w:r w:rsidRPr="46DED6E2">
        <w:rPr>
          <w:rFonts w:ascii="Calibri" w:eastAsia="Calibri" w:hAnsi="Calibri" w:cs="Calibri"/>
          <w:b/>
          <w:bCs/>
        </w:rPr>
        <w:t xml:space="preserve"> </w:t>
      </w:r>
    </w:p>
    <w:p w14:paraId="445FA5D9" w14:textId="6239396D" w:rsidR="788180F7" w:rsidRDefault="788180F7" w:rsidP="46DED6E2">
      <w:pPr>
        <w:rPr>
          <w:rFonts w:ascii="Calibri" w:eastAsia="Calibri" w:hAnsi="Calibri" w:cs="Calibri"/>
          <w:b/>
          <w:bCs/>
        </w:rPr>
      </w:pPr>
      <w:bookmarkStart w:id="8" w:name="_Int_p2SJ67La"/>
      <w:r w:rsidRPr="46DED6E2">
        <w:rPr>
          <w:rFonts w:ascii="Calibri" w:eastAsia="Calibri" w:hAnsi="Calibri" w:cs="Calibri"/>
          <w:u w:val="single"/>
        </w:rPr>
        <w:t xml:space="preserve">Internal control: </w:t>
      </w:r>
      <w:bookmarkEnd w:id="8"/>
    </w:p>
    <w:p w14:paraId="73357BED" w14:textId="7CBA82E3" w:rsidR="788180F7" w:rsidRDefault="788180F7">
      <w:r w:rsidRPr="46DED6E2">
        <w:rPr>
          <w:rFonts w:ascii="Calibri" w:eastAsia="Calibri" w:hAnsi="Calibri" w:cs="Calibri"/>
        </w:rPr>
        <w:t xml:space="preserve">Every intensive case review includes reviewing the items listed below:  </w:t>
      </w:r>
    </w:p>
    <w:p w14:paraId="4E4AD002" w14:textId="395FFE95" w:rsidR="46DED6E2" w:rsidRDefault="46DED6E2" w:rsidP="46DED6E2">
      <w:pPr>
        <w:rPr>
          <w:rFonts w:ascii="Calibri" w:eastAsia="Calibri" w:hAnsi="Calibri" w:cs="Calibri"/>
        </w:rPr>
      </w:pPr>
    </w:p>
    <w:p w14:paraId="1516F7C2" w14:textId="05784F2F" w:rsidR="788180F7" w:rsidRDefault="788180F7" w:rsidP="005C2BAA">
      <w:pPr>
        <w:pStyle w:val="ListParagraph"/>
        <w:numPr>
          <w:ilvl w:val="0"/>
          <w:numId w:val="3"/>
        </w:numPr>
        <w:rPr>
          <w:rFonts w:ascii="Calibri" w:eastAsia="Calibri" w:hAnsi="Calibri" w:cs="Calibri"/>
        </w:rPr>
      </w:pPr>
      <w:r w:rsidRPr="46DED6E2">
        <w:rPr>
          <w:rFonts w:ascii="Calibri" w:eastAsia="Calibri" w:hAnsi="Calibri" w:cs="Calibri"/>
        </w:rPr>
        <w:t>Correspondence with customer, vendors</w:t>
      </w:r>
      <w:r w:rsidR="000932E7">
        <w:rPr>
          <w:rFonts w:ascii="Calibri" w:eastAsia="Calibri" w:hAnsi="Calibri" w:cs="Calibri"/>
        </w:rPr>
        <w:t>,</w:t>
      </w:r>
      <w:r w:rsidRPr="46DED6E2">
        <w:rPr>
          <w:rFonts w:ascii="Calibri" w:eastAsia="Calibri" w:hAnsi="Calibri" w:cs="Calibri"/>
        </w:rPr>
        <w:t xml:space="preserve"> and other SSB staff is </w:t>
      </w:r>
      <w:r w:rsidR="428CA4E1" w:rsidRPr="46DED6E2">
        <w:rPr>
          <w:rFonts w:ascii="Calibri" w:eastAsia="Calibri" w:hAnsi="Calibri" w:cs="Calibri"/>
        </w:rPr>
        <w:t>professional</w:t>
      </w:r>
      <w:r w:rsidR="00B276FE">
        <w:rPr>
          <w:rFonts w:ascii="Calibri" w:eastAsia="Calibri" w:hAnsi="Calibri" w:cs="Calibri"/>
        </w:rPr>
        <w:t xml:space="preserve"> </w:t>
      </w:r>
      <w:r w:rsidRPr="46DED6E2">
        <w:rPr>
          <w:rFonts w:ascii="Calibri" w:eastAsia="Calibri" w:hAnsi="Calibri" w:cs="Calibri"/>
        </w:rPr>
        <w:t xml:space="preserve">and responses are sent in a timely manner. </w:t>
      </w:r>
    </w:p>
    <w:p w14:paraId="02A928C0" w14:textId="4941A5CD" w:rsidR="788180F7" w:rsidRDefault="788180F7" w:rsidP="005C2BAA">
      <w:pPr>
        <w:pStyle w:val="ListParagraph"/>
        <w:numPr>
          <w:ilvl w:val="0"/>
          <w:numId w:val="3"/>
        </w:numPr>
        <w:rPr>
          <w:rFonts w:ascii="Calibri" w:eastAsia="Calibri" w:hAnsi="Calibri" w:cs="Calibri"/>
        </w:rPr>
      </w:pPr>
      <w:r w:rsidRPr="46DED6E2">
        <w:rPr>
          <w:rFonts w:ascii="Calibri" w:eastAsia="Calibri" w:hAnsi="Calibri" w:cs="Calibri"/>
        </w:rPr>
        <w:lastRenderedPageBreak/>
        <w:t>Counselor maintained contact with customer at least once every 90 days</w:t>
      </w:r>
      <w:r w:rsidR="00A151E4">
        <w:rPr>
          <w:rFonts w:ascii="Calibri" w:eastAsia="Calibri" w:hAnsi="Calibri" w:cs="Calibri"/>
        </w:rPr>
        <w:t>.</w:t>
      </w:r>
      <w:r w:rsidRPr="46DED6E2">
        <w:rPr>
          <w:rFonts w:ascii="Calibri" w:eastAsia="Calibri" w:hAnsi="Calibri" w:cs="Calibri"/>
        </w:rPr>
        <w:t xml:space="preserve"> </w:t>
      </w:r>
      <w:r w:rsidR="00A151E4" w:rsidRPr="46DED6E2">
        <w:rPr>
          <w:rFonts w:ascii="Calibri" w:eastAsia="Calibri" w:hAnsi="Calibri" w:cs="Calibri"/>
        </w:rPr>
        <w:t>O</w:t>
      </w:r>
      <w:r w:rsidR="00A151E4">
        <w:rPr>
          <w:rFonts w:ascii="Calibri" w:eastAsia="Calibri" w:hAnsi="Calibri" w:cs="Calibri"/>
        </w:rPr>
        <w:t>r</w:t>
      </w:r>
      <w:r w:rsidR="5DAA0F9E" w:rsidRPr="46DED6E2">
        <w:rPr>
          <w:rFonts w:ascii="Calibri" w:eastAsia="Calibri" w:hAnsi="Calibri" w:cs="Calibri"/>
        </w:rPr>
        <w:t>,</w:t>
      </w:r>
      <w:r w:rsidRPr="46DED6E2">
        <w:rPr>
          <w:rFonts w:ascii="Calibri" w:eastAsia="Calibri" w:hAnsi="Calibri" w:cs="Calibri"/>
        </w:rPr>
        <w:t xml:space="preserve"> if customer did not respond to contact attempts, counselor continued to try to engage customer until contact could be made.</w:t>
      </w:r>
    </w:p>
    <w:p w14:paraId="145B7A5B" w14:textId="7B5DC1C9" w:rsidR="788180F7" w:rsidRDefault="788180F7">
      <w:r w:rsidRPr="46DED6E2">
        <w:rPr>
          <w:rFonts w:ascii="Calibri" w:eastAsia="Calibri" w:hAnsi="Calibri" w:cs="Calibri"/>
        </w:rPr>
        <w:t xml:space="preserve"> </w:t>
      </w:r>
    </w:p>
    <w:p w14:paraId="64592986" w14:textId="3510705B" w:rsidR="788180F7" w:rsidRDefault="788180F7" w:rsidP="46DED6E2">
      <w:pPr>
        <w:rPr>
          <w:rFonts w:ascii="Calibri" w:eastAsia="Calibri" w:hAnsi="Calibri" w:cs="Calibri"/>
          <w:b/>
          <w:bCs/>
        </w:rPr>
      </w:pPr>
      <w:bookmarkStart w:id="9" w:name="_Int_3OGSYNsR"/>
      <w:r w:rsidRPr="46DED6E2">
        <w:rPr>
          <w:rFonts w:ascii="Calibri" w:eastAsia="Calibri" w:hAnsi="Calibri" w:cs="Calibri"/>
          <w:u w:val="single"/>
        </w:rPr>
        <w:t xml:space="preserve">Trends: </w:t>
      </w:r>
      <w:bookmarkEnd w:id="9"/>
    </w:p>
    <w:p w14:paraId="5DC2794A" w14:textId="21DB3996" w:rsidR="788180F7" w:rsidRDefault="788180F7">
      <w:r w:rsidRPr="46DED6E2">
        <w:rPr>
          <w:rFonts w:ascii="Calibri" w:eastAsia="Calibri" w:hAnsi="Calibri" w:cs="Calibri"/>
        </w:rPr>
        <w:t xml:space="preserve">Counselor review ratings on these items have not included any non-compliant; they are always mostly compliant and most often, compliant ratings. </w:t>
      </w:r>
    </w:p>
    <w:p w14:paraId="3746D10E" w14:textId="71635C35" w:rsidR="788180F7" w:rsidRDefault="788180F7">
      <w:r w:rsidRPr="46DED6E2">
        <w:rPr>
          <w:rFonts w:ascii="Calibri" w:eastAsia="Calibri" w:hAnsi="Calibri" w:cs="Calibri"/>
        </w:rPr>
        <w:t xml:space="preserve"> </w:t>
      </w:r>
    </w:p>
    <w:p w14:paraId="20F66207" w14:textId="399561E3" w:rsidR="46DED6E2" w:rsidRDefault="46DED6E2" w:rsidP="46DED6E2">
      <w:pPr>
        <w:ind w:left="360"/>
        <w:contextualSpacing/>
        <w:rPr>
          <w:rFonts w:ascii="Calibri" w:eastAsiaTheme="minorEastAsia" w:hAnsi="Calibri" w:cs="Calibri"/>
        </w:rPr>
      </w:pPr>
    </w:p>
    <w:p w14:paraId="138E8075" w14:textId="77777777" w:rsidR="00D0706C" w:rsidRPr="006C6124" w:rsidRDefault="00D0706C" w:rsidP="00D0706C">
      <w:pPr>
        <w:ind w:left="360"/>
        <w:contextualSpacing/>
        <w:rPr>
          <w:rFonts w:ascii="Calibri" w:eastAsiaTheme="minorEastAsia" w:hAnsi="Calibri" w:cs="Calibri"/>
        </w:rPr>
      </w:pPr>
    </w:p>
    <w:p w14:paraId="5CE2BB87" w14:textId="77777777" w:rsidR="00D0706C" w:rsidRPr="006C6124" w:rsidRDefault="00D0706C">
      <w:pPr>
        <w:numPr>
          <w:ilvl w:val="0"/>
          <w:numId w:val="12"/>
        </w:numPr>
        <w:spacing w:after="5" w:line="250" w:lineRule="auto"/>
        <w:ind w:left="360" w:right="51"/>
        <w:contextualSpacing/>
        <w:rPr>
          <w:rFonts w:ascii="Calibri" w:eastAsiaTheme="minorEastAsia" w:hAnsi="Calibri" w:cs="Calibri"/>
        </w:rPr>
      </w:pPr>
      <w:r w:rsidRPr="006C6124">
        <w:rPr>
          <w:rFonts w:ascii="Calibri" w:eastAsiaTheme="minorEastAsia" w:hAnsi="Calibri" w:cs="Calibri"/>
        </w:rPr>
        <w:t>Performance on the performance accountability indicators under section 116 of WIOA for the most recently completed program year, reflecting actual and negotiated levels of performance. Explain any discrepancies in the actual and negotiated levels; and</w:t>
      </w:r>
    </w:p>
    <w:p w14:paraId="3A40F89B" w14:textId="0F906892" w:rsidR="00D0706C" w:rsidRPr="006C6124" w:rsidRDefault="00D0706C" w:rsidP="00D0706C">
      <w:pPr>
        <w:ind w:left="360"/>
        <w:contextualSpacing/>
        <w:rPr>
          <w:rFonts w:ascii="Calibri" w:eastAsiaTheme="minorEastAsia" w:hAnsi="Calibri" w:cs="Calibri"/>
        </w:rPr>
      </w:pPr>
      <w:r w:rsidRPr="006C6124">
        <w:rPr>
          <w:rFonts w:ascii="Calibri" w:eastAsiaTheme="minorEastAsia" w:hAnsi="Calibri" w:cs="Calibri"/>
        </w:rPr>
        <w:t xml:space="preserve">  </w:t>
      </w:r>
    </w:p>
    <w:tbl>
      <w:tblPr>
        <w:tblStyle w:val="TableGrid"/>
        <w:tblW w:w="0" w:type="auto"/>
        <w:tblLook w:val="04A0" w:firstRow="1" w:lastRow="0" w:firstColumn="1" w:lastColumn="0" w:noHBand="0" w:noVBand="1"/>
      </w:tblPr>
      <w:tblGrid>
        <w:gridCol w:w="4208"/>
        <w:gridCol w:w="1756"/>
        <w:gridCol w:w="2276"/>
        <w:gridCol w:w="1968"/>
      </w:tblGrid>
      <w:tr w:rsidR="00651937" w:rsidRPr="006C6124" w14:paraId="48C463A3" w14:textId="77777777" w:rsidTr="00651937">
        <w:trPr>
          <w:trHeight w:val="290"/>
        </w:trPr>
        <w:tc>
          <w:tcPr>
            <w:tcW w:w="4208" w:type="dxa"/>
            <w:noWrap/>
            <w:hideMark/>
          </w:tcPr>
          <w:p w14:paraId="0A981CC6" w14:textId="77777777" w:rsidR="00651937" w:rsidRPr="006C6124" w:rsidRDefault="00651937" w:rsidP="00ED4F03">
            <w:pPr>
              <w:ind w:left="360"/>
              <w:contextualSpacing/>
              <w:rPr>
                <w:rFonts w:ascii="Calibri" w:eastAsiaTheme="minorEastAsia" w:hAnsi="Calibri" w:cs="Calibri"/>
                <w:b/>
                <w:bCs/>
              </w:rPr>
            </w:pPr>
            <w:r w:rsidRPr="006C6124">
              <w:rPr>
                <w:rFonts w:ascii="Calibri" w:eastAsiaTheme="minorEastAsia" w:hAnsi="Calibri" w:cs="Calibri"/>
                <w:b/>
                <w:bCs/>
              </w:rPr>
              <w:t>Performance Indicators</w:t>
            </w:r>
          </w:p>
        </w:tc>
        <w:tc>
          <w:tcPr>
            <w:tcW w:w="1756" w:type="dxa"/>
            <w:noWrap/>
            <w:hideMark/>
          </w:tcPr>
          <w:p w14:paraId="089490F4" w14:textId="77777777" w:rsidR="00651937" w:rsidRPr="006C6124" w:rsidRDefault="00651937" w:rsidP="005C26EB">
            <w:pPr>
              <w:contextualSpacing/>
              <w:jc w:val="center"/>
              <w:rPr>
                <w:rFonts w:ascii="Calibri" w:eastAsiaTheme="minorEastAsia" w:hAnsi="Calibri" w:cs="Calibri"/>
                <w:b/>
                <w:bCs/>
              </w:rPr>
            </w:pPr>
            <w:r w:rsidRPr="006C6124">
              <w:rPr>
                <w:rFonts w:ascii="Calibri" w:eastAsiaTheme="minorEastAsia" w:hAnsi="Calibri" w:cs="Calibri"/>
                <w:b/>
                <w:bCs/>
              </w:rPr>
              <w:t>PY22 Actual SSB</w:t>
            </w:r>
          </w:p>
        </w:tc>
        <w:tc>
          <w:tcPr>
            <w:tcW w:w="2276" w:type="dxa"/>
            <w:noWrap/>
            <w:hideMark/>
          </w:tcPr>
          <w:p w14:paraId="46899CE2" w14:textId="77777777" w:rsidR="00651937" w:rsidRPr="006C6124" w:rsidRDefault="00651937" w:rsidP="005C26EB">
            <w:pPr>
              <w:contextualSpacing/>
              <w:jc w:val="center"/>
              <w:rPr>
                <w:rFonts w:ascii="Calibri" w:eastAsiaTheme="minorEastAsia" w:hAnsi="Calibri" w:cs="Calibri"/>
                <w:b/>
                <w:bCs/>
              </w:rPr>
            </w:pPr>
            <w:r w:rsidRPr="006C6124">
              <w:rPr>
                <w:rFonts w:ascii="Calibri" w:eastAsiaTheme="minorEastAsia" w:hAnsi="Calibri" w:cs="Calibri"/>
                <w:b/>
                <w:bCs/>
              </w:rPr>
              <w:t>PY22 Actual Combined</w:t>
            </w:r>
          </w:p>
        </w:tc>
        <w:tc>
          <w:tcPr>
            <w:tcW w:w="1968" w:type="dxa"/>
            <w:noWrap/>
            <w:hideMark/>
          </w:tcPr>
          <w:p w14:paraId="28546571" w14:textId="77777777" w:rsidR="00651937" w:rsidRPr="006C6124" w:rsidRDefault="00651937" w:rsidP="005C26EB">
            <w:pPr>
              <w:contextualSpacing/>
              <w:jc w:val="center"/>
              <w:rPr>
                <w:rFonts w:ascii="Calibri" w:eastAsiaTheme="minorEastAsia" w:hAnsi="Calibri" w:cs="Calibri"/>
                <w:b/>
                <w:bCs/>
              </w:rPr>
            </w:pPr>
            <w:r w:rsidRPr="006C6124">
              <w:rPr>
                <w:rFonts w:ascii="Calibri" w:eastAsiaTheme="minorEastAsia" w:hAnsi="Calibri" w:cs="Calibri"/>
                <w:b/>
                <w:bCs/>
              </w:rPr>
              <w:t>PY22 Negotiated</w:t>
            </w:r>
          </w:p>
        </w:tc>
      </w:tr>
      <w:tr w:rsidR="00651937" w:rsidRPr="006C6124" w14:paraId="431B7DBE" w14:textId="77777777" w:rsidTr="00651937">
        <w:trPr>
          <w:trHeight w:val="290"/>
        </w:trPr>
        <w:tc>
          <w:tcPr>
            <w:tcW w:w="4208" w:type="dxa"/>
            <w:noWrap/>
            <w:hideMark/>
          </w:tcPr>
          <w:p w14:paraId="312F37E9" w14:textId="77777777" w:rsidR="00651937" w:rsidRPr="006C6124" w:rsidRDefault="00651937" w:rsidP="007026E1">
            <w:pPr>
              <w:contextualSpacing/>
              <w:rPr>
                <w:rFonts w:ascii="Calibri" w:eastAsiaTheme="minorEastAsia" w:hAnsi="Calibri" w:cs="Calibri"/>
              </w:rPr>
            </w:pPr>
            <w:r w:rsidRPr="006C6124">
              <w:rPr>
                <w:rFonts w:ascii="Calibri" w:eastAsiaTheme="minorEastAsia" w:hAnsi="Calibri" w:cs="Calibri"/>
              </w:rPr>
              <w:t>Employment (Second Quarter After Exit)</w:t>
            </w:r>
          </w:p>
        </w:tc>
        <w:tc>
          <w:tcPr>
            <w:tcW w:w="1756" w:type="dxa"/>
            <w:noWrap/>
            <w:hideMark/>
          </w:tcPr>
          <w:p w14:paraId="7B80BB5C"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39%</w:t>
            </w:r>
          </w:p>
        </w:tc>
        <w:tc>
          <w:tcPr>
            <w:tcW w:w="2276" w:type="dxa"/>
            <w:noWrap/>
            <w:hideMark/>
          </w:tcPr>
          <w:p w14:paraId="14A0B0D6"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58%</w:t>
            </w:r>
          </w:p>
        </w:tc>
        <w:tc>
          <w:tcPr>
            <w:tcW w:w="1968" w:type="dxa"/>
            <w:noWrap/>
            <w:hideMark/>
          </w:tcPr>
          <w:p w14:paraId="73ACB152"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51.5%</w:t>
            </w:r>
          </w:p>
        </w:tc>
      </w:tr>
      <w:tr w:rsidR="00651937" w:rsidRPr="006C6124" w14:paraId="1E10E16C" w14:textId="77777777" w:rsidTr="00651937">
        <w:trPr>
          <w:trHeight w:val="290"/>
        </w:trPr>
        <w:tc>
          <w:tcPr>
            <w:tcW w:w="4208" w:type="dxa"/>
            <w:noWrap/>
            <w:hideMark/>
          </w:tcPr>
          <w:p w14:paraId="10B3ABAE" w14:textId="77777777" w:rsidR="00651937" w:rsidRPr="006C6124" w:rsidRDefault="00651937" w:rsidP="007026E1">
            <w:pPr>
              <w:contextualSpacing/>
              <w:rPr>
                <w:rFonts w:ascii="Calibri" w:eastAsiaTheme="minorEastAsia" w:hAnsi="Calibri" w:cs="Calibri"/>
              </w:rPr>
            </w:pPr>
            <w:r w:rsidRPr="006C6124">
              <w:rPr>
                <w:rFonts w:ascii="Calibri" w:eastAsiaTheme="minorEastAsia" w:hAnsi="Calibri" w:cs="Calibri"/>
              </w:rPr>
              <w:t>Employment (Fourth Quarter After Exit)</w:t>
            </w:r>
          </w:p>
        </w:tc>
        <w:tc>
          <w:tcPr>
            <w:tcW w:w="1756" w:type="dxa"/>
            <w:noWrap/>
            <w:hideMark/>
          </w:tcPr>
          <w:p w14:paraId="57CDFAE4"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35%</w:t>
            </w:r>
          </w:p>
        </w:tc>
        <w:tc>
          <w:tcPr>
            <w:tcW w:w="2276" w:type="dxa"/>
            <w:noWrap/>
            <w:hideMark/>
          </w:tcPr>
          <w:p w14:paraId="141EDE03"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58%</w:t>
            </w:r>
          </w:p>
        </w:tc>
        <w:tc>
          <w:tcPr>
            <w:tcW w:w="1968" w:type="dxa"/>
            <w:noWrap/>
            <w:hideMark/>
          </w:tcPr>
          <w:p w14:paraId="7F37E31E"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49.6%</w:t>
            </w:r>
          </w:p>
        </w:tc>
      </w:tr>
      <w:tr w:rsidR="00651937" w:rsidRPr="006C6124" w14:paraId="7FD79843" w14:textId="77777777" w:rsidTr="00651937">
        <w:trPr>
          <w:trHeight w:val="290"/>
        </w:trPr>
        <w:tc>
          <w:tcPr>
            <w:tcW w:w="4208" w:type="dxa"/>
            <w:noWrap/>
            <w:hideMark/>
          </w:tcPr>
          <w:p w14:paraId="08A4B8E4" w14:textId="77777777" w:rsidR="00651937" w:rsidRPr="006C6124" w:rsidRDefault="00651937" w:rsidP="007026E1">
            <w:pPr>
              <w:contextualSpacing/>
              <w:rPr>
                <w:rFonts w:ascii="Calibri" w:eastAsiaTheme="minorEastAsia" w:hAnsi="Calibri" w:cs="Calibri"/>
              </w:rPr>
            </w:pPr>
            <w:r w:rsidRPr="006C6124">
              <w:rPr>
                <w:rFonts w:ascii="Calibri" w:eastAsiaTheme="minorEastAsia" w:hAnsi="Calibri" w:cs="Calibri"/>
              </w:rPr>
              <w:t>Median Earnings (Second Quarter After Exit)</w:t>
            </w:r>
          </w:p>
        </w:tc>
        <w:tc>
          <w:tcPr>
            <w:tcW w:w="1756" w:type="dxa"/>
            <w:noWrap/>
            <w:hideMark/>
          </w:tcPr>
          <w:p w14:paraId="3255AF56" w14:textId="39B47C69" w:rsidR="00651937" w:rsidRPr="006C6124" w:rsidRDefault="008333C9" w:rsidP="00ED4F03">
            <w:pPr>
              <w:contextualSpacing/>
              <w:jc w:val="center"/>
              <w:rPr>
                <w:rFonts w:ascii="Calibri" w:eastAsiaTheme="minorEastAsia" w:hAnsi="Calibri" w:cs="Calibri"/>
              </w:rPr>
            </w:pPr>
            <w:r w:rsidRPr="006C6124">
              <w:rPr>
                <w:rFonts w:ascii="Calibri" w:eastAsiaTheme="minorEastAsia" w:hAnsi="Calibri" w:cs="Calibri"/>
              </w:rPr>
              <w:t>$</w:t>
            </w:r>
            <w:r w:rsidR="00651937" w:rsidRPr="006C6124">
              <w:rPr>
                <w:rFonts w:ascii="Calibri" w:eastAsiaTheme="minorEastAsia" w:hAnsi="Calibri" w:cs="Calibri"/>
              </w:rPr>
              <w:t>7,326.00</w:t>
            </w:r>
          </w:p>
        </w:tc>
        <w:tc>
          <w:tcPr>
            <w:tcW w:w="2276" w:type="dxa"/>
            <w:noWrap/>
            <w:hideMark/>
          </w:tcPr>
          <w:p w14:paraId="1C344C0A" w14:textId="49A20E85" w:rsidR="00651937" w:rsidRPr="006C6124" w:rsidRDefault="008333C9" w:rsidP="00ED4F03">
            <w:pPr>
              <w:ind w:left="360"/>
              <w:contextualSpacing/>
              <w:jc w:val="center"/>
              <w:rPr>
                <w:rFonts w:ascii="Calibri" w:eastAsiaTheme="minorEastAsia" w:hAnsi="Calibri" w:cs="Calibri"/>
              </w:rPr>
            </w:pPr>
            <w:r w:rsidRPr="006C6124">
              <w:rPr>
                <w:rFonts w:ascii="Calibri" w:eastAsiaTheme="minorEastAsia" w:hAnsi="Calibri" w:cs="Calibri"/>
              </w:rPr>
              <w:t>$</w:t>
            </w:r>
            <w:r w:rsidR="00651937" w:rsidRPr="006C6124">
              <w:rPr>
                <w:rFonts w:ascii="Calibri" w:eastAsiaTheme="minorEastAsia" w:hAnsi="Calibri" w:cs="Calibri"/>
              </w:rPr>
              <w:t>3,722.50</w:t>
            </w:r>
          </w:p>
        </w:tc>
        <w:tc>
          <w:tcPr>
            <w:tcW w:w="1968" w:type="dxa"/>
            <w:noWrap/>
            <w:hideMark/>
          </w:tcPr>
          <w:p w14:paraId="1D55CE49" w14:textId="45C8C8A6" w:rsidR="00651937" w:rsidRPr="006C6124" w:rsidRDefault="008333C9" w:rsidP="00ED4F03">
            <w:pPr>
              <w:ind w:left="360"/>
              <w:contextualSpacing/>
              <w:jc w:val="center"/>
              <w:rPr>
                <w:rFonts w:ascii="Calibri" w:eastAsiaTheme="minorEastAsia" w:hAnsi="Calibri" w:cs="Calibri"/>
              </w:rPr>
            </w:pPr>
            <w:r w:rsidRPr="006C6124">
              <w:rPr>
                <w:rFonts w:ascii="Calibri" w:eastAsiaTheme="minorEastAsia" w:hAnsi="Calibri" w:cs="Calibri"/>
              </w:rPr>
              <w:t>$</w:t>
            </w:r>
            <w:r w:rsidR="00651937" w:rsidRPr="006C6124">
              <w:rPr>
                <w:rFonts w:ascii="Calibri" w:eastAsiaTheme="minorEastAsia" w:hAnsi="Calibri" w:cs="Calibri"/>
              </w:rPr>
              <w:t>3,411.00</w:t>
            </w:r>
          </w:p>
        </w:tc>
      </w:tr>
      <w:tr w:rsidR="00651937" w:rsidRPr="006C6124" w14:paraId="67BB60AF" w14:textId="77777777" w:rsidTr="00651937">
        <w:trPr>
          <w:trHeight w:val="290"/>
        </w:trPr>
        <w:tc>
          <w:tcPr>
            <w:tcW w:w="4208" w:type="dxa"/>
            <w:noWrap/>
            <w:hideMark/>
          </w:tcPr>
          <w:p w14:paraId="0CF94910" w14:textId="77777777" w:rsidR="00651937" w:rsidRPr="006C6124" w:rsidRDefault="00651937" w:rsidP="007026E1">
            <w:pPr>
              <w:contextualSpacing/>
              <w:rPr>
                <w:rFonts w:ascii="Calibri" w:eastAsiaTheme="minorEastAsia" w:hAnsi="Calibri" w:cs="Calibri"/>
              </w:rPr>
            </w:pPr>
            <w:r w:rsidRPr="006C6124">
              <w:rPr>
                <w:rFonts w:ascii="Calibri" w:eastAsiaTheme="minorEastAsia" w:hAnsi="Calibri" w:cs="Calibri"/>
              </w:rPr>
              <w:t>Credential Attainment Rate</w:t>
            </w:r>
          </w:p>
        </w:tc>
        <w:tc>
          <w:tcPr>
            <w:tcW w:w="1756" w:type="dxa"/>
            <w:noWrap/>
            <w:hideMark/>
          </w:tcPr>
          <w:p w14:paraId="5274B511"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34%</w:t>
            </w:r>
          </w:p>
        </w:tc>
        <w:tc>
          <w:tcPr>
            <w:tcW w:w="2276" w:type="dxa"/>
            <w:noWrap/>
            <w:hideMark/>
          </w:tcPr>
          <w:p w14:paraId="6253273D"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44%</w:t>
            </w:r>
          </w:p>
        </w:tc>
        <w:tc>
          <w:tcPr>
            <w:tcW w:w="1968" w:type="dxa"/>
            <w:noWrap/>
            <w:hideMark/>
          </w:tcPr>
          <w:p w14:paraId="2B1535BD"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31%</w:t>
            </w:r>
          </w:p>
        </w:tc>
      </w:tr>
      <w:tr w:rsidR="00651937" w:rsidRPr="006C6124" w14:paraId="1AFBA381" w14:textId="77777777" w:rsidTr="00651937">
        <w:trPr>
          <w:trHeight w:val="290"/>
        </w:trPr>
        <w:tc>
          <w:tcPr>
            <w:tcW w:w="4208" w:type="dxa"/>
            <w:noWrap/>
            <w:hideMark/>
          </w:tcPr>
          <w:p w14:paraId="1A790F4A" w14:textId="77777777" w:rsidR="00651937" w:rsidRPr="006C6124" w:rsidRDefault="00651937" w:rsidP="007026E1">
            <w:pPr>
              <w:contextualSpacing/>
              <w:rPr>
                <w:rFonts w:ascii="Calibri" w:eastAsiaTheme="minorEastAsia" w:hAnsi="Calibri" w:cs="Calibri"/>
              </w:rPr>
            </w:pPr>
            <w:r w:rsidRPr="006C6124">
              <w:rPr>
                <w:rFonts w:ascii="Calibri" w:eastAsiaTheme="minorEastAsia" w:hAnsi="Calibri" w:cs="Calibri"/>
              </w:rPr>
              <w:t>Measurable Skill Gains</w:t>
            </w:r>
          </w:p>
        </w:tc>
        <w:tc>
          <w:tcPr>
            <w:tcW w:w="1756" w:type="dxa"/>
            <w:noWrap/>
            <w:hideMark/>
          </w:tcPr>
          <w:p w14:paraId="314C4B12"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41%</w:t>
            </w:r>
          </w:p>
        </w:tc>
        <w:tc>
          <w:tcPr>
            <w:tcW w:w="2276" w:type="dxa"/>
            <w:noWrap/>
            <w:hideMark/>
          </w:tcPr>
          <w:p w14:paraId="56E8CC6D"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51%</w:t>
            </w:r>
          </w:p>
        </w:tc>
        <w:tc>
          <w:tcPr>
            <w:tcW w:w="1968" w:type="dxa"/>
            <w:noWrap/>
            <w:hideMark/>
          </w:tcPr>
          <w:p w14:paraId="3BF7581A" w14:textId="77777777" w:rsidR="00651937" w:rsidRPr="006C6124" w:rsidRDefault="00651937" w:rsidP="00ED4F03">
            <w:pPr>
              <w:ind w:left="360"/>
              <w:contextualSpacing/>
              <w:jc w:val="center"/>
              <w:rPr>
                <w:rFonts w:ascii="Calibri" w:eastAsiaTheme="minorEastAsia" w:hAnsi="Calibri" w:cs="Calibri"/>
              </w:rPr>
            </w:pPr>
            <w:r w:rsidRPr="006C6124">
              <w:rPr>
                <w:rFonts w:ascii="Calibri" w:eastAsiaTheme="minorEastAsia" w:hAnsi="Calibri" w:cs="Calibri"/>
              </w:rPr>
              <w:t>50.3%</w:t>
            </w:r>
          </w:p>
        </w:tc>
      </w:tr>
    </w:tbl>
    <w:p w14:paraId="32086B21" w14:textId="08028C69" w:rsidR="00121566" w:rsidRPr="006C6124" w:rsidRDefault="00121566" w:rsidP="00D0706C">
      <w:pPr>
        <w:ind w:left="360"/>
        <w:contextualSpacing/>
        <w:rPr>
          <w:rFonts w:ascii="Calibri" w:eastAsiaTheme="minorEastAsia" w:hAnsi="Calibri" w:cs="Calibri"/>
        </w:rPr>
      </w:pPr>
    </w:p>
    <w:p w14:paraId="64D14D31" w14:textId="4530E437" w:rsidR="00121566" w:rsidRPr="006C6124" w:rsidRDefault="008C63EB" w:rsidP="00D0706C">
      <w:pPr>
        <w:ind w:left="360"/>
        <w:contextualSpacing/>
        <w:rPr>
          <w:rFonts w:ascii="Calibri" w:eastAsiaTheme="minorEastAsia" w:hAnsi="Calibri" w:cs="Calibri"/>
        </w:rPr>
      </w:pPr>
      <w:r w:rsidRPr="006C6124">
        <w:rPr>
          <w:rFonts w:ascii="Calibri" w:eastAsiaTheme="minorEastAsia" w:hAnsi="Calibri" w:cs="Calibri"/>
        </w:rPr>
        <w:t xml:space="preserve">There were no </w:t>
      </w:r>
      <w:r w:rsidR="000512BE" w:rsidRPr="006C6124">
        <w:rPr>
          <w:rFonts w:ascii="Calibri" w:eastAsiaTheme="minorEastAsia" w:hAnsi="Calibri" w:cs="Calibri"/>
        </w:rPr>
        <w:t xml:space="preserve">discrepancies identified. </w:t>
      </w:r>
    </w:p>
    <w:p w14:paraId="7FAFF3D5" w14:textId="77777777" w:rsidR="000512BE" w:rsidRPr="006C6124" w:rsidRDefault="000512BE" w:rsidP="00D0706C">
      <w:pPr>
        <w:ind w:left="360"/>
        <w:contextualSpacing/>
        <w:rPr>
          <w:rFonts w:ascii="Calibri" w:eastAsiaTheme="minorEastAsia" w:hAnsi="Calibri" w:cs="Calibri"/>
        </w:rPr>
      </w:pPr>
    </w:p>
    <w:p w14:paraId="698E1E49" w14:textId="77777777" w:rsidR="00D0706C" w:rsidRPr="006C6124" w:rsidRDefault="00D0706C">
      <w:pPr>
        <w:numPr>
          <w:ilvl w:val="0"/>
          <w:numId w:val="12"/>
        </w:numPr>
        <w:spacing w:after="5" w:line="250" w:lineRule="auto"/>
        <w:ind w:left="360" w:right="51"/>
        <w:contextualSpacing/>
        <w:rPr>
          <w:rFonts w:ascii="Calibri" w:eastAsiaTheme="minorEastAsia" w:hAnsi="Calibri" w:cs="Calibri"/>
        </w:rPr>
      </w:pPr>
      <w:r w:rsidRPr="006C6124">
        <w:rPr>
          <w:rFonts w:ascii="Calibri" w:eastAsiaTheme="minorEastAsia" w:hAnsi="Calibri" w:cs="Calibri"/>
        </w:rPr>
        <w:t>The use of funds reserved for innovation and expansion activities (sections 101(a)(18) and 101(a)(23) of the Rehabilitation Act) (e.g., SRC, SILC).</w:t>
      </w:r>
    </w:p>
    <w:p w14:paraId="1425DCF9" w14:textId="0B9B01C5" w:rsidR="00D70D25" w:rsidRPr="006C6124" w:rsidRDefault="00D70D25" w:rsidP="00D0706C">
      <w:pPr>
        <w:ind w:left="360"/>
        <w:contextualSpacing/>
        <w:rPr>
          <w:rFonts w:ascii="Calibri" w:eastAsiaTheme="minorEastAsia" w:hAnsi="Calibri" w:cs="Calibri"/>
        </w:rPr>
      </w:pPr>
    </w:p>
    <w:p w14:paraId="66B94F7F" w14:textId="29041F7B" w:rsidR="00076A20" w:rsidRDefault="00F165B8" w:rsidP="00D0706C">
      <w:pPr>
        <w:ind w:left="360"/>
        <w:contextualSpacing/>
        <w:rPr>
          <w:rFonts w:ascii="Calibri" w:eastAsiaTheme="minorEastAsia" w:hAnsi="Calibri" w:cs="Calibri"/>
        </w:rPr>
      </w:pPr>
      <w:r>
        <w:rPr>
          <w:rFonts w:ascii="Calibri" w:eastAsiaTheme="minorEastAsia" w:hAnsi="Calibri" w:cs="Calibri"/>
        </w:rPr>
        <w:t xml:space="preserve">SSB uses </w:t>
      </w:r>
      <w:r w:rsidR="00D76713">
        <w:rPr>
          <w:rFonts w:ascii="Calibri" w:eastAsiaTheme="minorEastAsia" w:hAnsi="Calibri" w:cs="Calibri"/>
        </w:rPr>
        <w:t xml:space="preserve">funds reserved for innovation and expansion activities for </w:t>
      </w:r>
      <w:r w:rsidR="00C8757A">
        <w:rPr>
          <w:rFonts w:ascii="Calibri" w:eastAsiaTheme="minorEastAsia" w:hAnsi="Calibri" w:cs="Calibri"/>
        </w:rPr>
        <w:t>its</w:t>
      </w:r>
      <w:r w:rsidR="00150403">
        <w:rPr>
          <w:rFonts w:ascii="Calibri" w:eastAsiaTheme="minorEastAsia" w:hAnsi="Calibri" w:cs="Calibri"/>
        </w:rPr>
        <w:t xml:space="preserve"> State Rehabilitation Council for the Blind (SRC-B). </w:t>
      </w:r>
      <w:r w:rsidR="008275E0">
        <w:rPr>
          <w:rFonts w:ascii="Calibri" w:eastAsiaTheme="minorEastAsia" w:hAnsi="Calibri" w:cs="Calibri"/>
        </w:rPr>
        <w:t xml:space="preserve">For FFY 2024, the SRC-B has budgeted </w:t>
      </w:r>
      <w:r w:rsidR="001477DB">
        <w:rPr>
          <w:rFonts w:ascii="Calibri" w:eastAsiaTheme="minorEastAsia" w:hAnsi="Calibri" w:cs="Calibri"/>
        </w:rPr>
        <w:t>$35,730</w:t>
      </w:r>
      <w:r w:rsidR="00005731">
        <w:rPr>
          <w:rFonts w:ascii="Calibri" w:eastAsiaTheme="minorEastAsia" w:hAnsi="Calibri" w:cs="Calibri"/>
        </w:rPr>
        <w:t>,</w:t>
      </w:r>
      <w:r w:rsidR="00BE1B04">
        <w:rPr>
          <w:rFonts w:ascii="Calibri" w:eastAsiaTheme="minorEastAsia" w:hAnsi="Calibri" w:cs="Calibri"/>
        </w:rPr>
        <w:t xml:space="preserve"> with the </w:t>
      </w:r>
      <w:r w:rsidR="00C31D74">
        <w:rPr>
          <w:rFonts w:ascii="Calibri" w:eastAsiaTheme="minorEastAsia" w:hAnsi="Calibri" w:cs="Calibri"/>
        </w:rPr>
        <w:t>majority of its</w:t>
      </w:r>
      <w:r w:rsidR="00B279B7">
        <w:rPr>
          <w:rFonts w:ascii="Calibri" w:eastAsiaTheme="minorEastAsia" w:hAnsi="Calibri" w:cs="Calibri"/>
        </w:rPr>
        <w:t xml:space="preserve"> budgeted line items for</w:t>
      </w:r>
      <w:r w:rsidR="002A781A">
        <w:rPr>
          <w:rFonts w:ascii="Calibri" w:eastAsiaTheme="minorEastAsia" w:hAnsi="Calibri" w:cs="Calibri"/>
        </w:rPr>
        <w:t xml:space="preserve"> </w:t>
      </w:r>
      <w:r w:rsidR="00005731">
        <w:rPr>
          <w:rFonts w:ascii="Calibri" w:eastAsiaTheme="minorEastAsia" w:hAnsi="Calibri" w:cs="Calibri"/>
        </w:rPr>
        <w:t>interpreters</w:t>
      </w:r>
      <w:r w:rsidR="002A781A">
        <w:rPr>
          <w:rFonts w:ascii="Calibri" w:eastAsiaTheme="minorEastAsia" w:hAnsi="Calibri" w:cs="Calibri"/>
        </w:rPr>
        <w:t xml:space="preserve">, Court Reporting and </w:t>
      </w:r>
      <w:r w:rsidR="0081664C">
        <w:rPr>
          <w:rFonts w:ascii="Calibri" w:eastAsiaTheme="minorEastAsia" w:hAnsi="Calibri" w:cs="Calibri"/>
        </w:rPr>
        <w:t xml:space="preserve">Transcription, </w:t>
      </w:r>
      <w:r w:rsidR="001F2D56">
        <w:rPr>
          <w:rFonts w:ascii="Calibri" w:eastAsiaTheme="minorEastAsia" w:hAnsi="Calibri" w:cs="Calibri"/>
        </w:rPr>
        <w:t xml:space="preserve">council member </w:t>
      </w:r>
      <w:r w:rsidR="003F4304">
        <w:rPr>
          <w:rFonts w:ascii="Calibri" w:eastAsiaTheme="minorEastAsia" w:hAnsi="Calibri" w:cs="Calibri"/>
        </w:rPr>
        <w:t xml:space="preserve">compensation and travel expenses for </w:t>
      </w:r>
      <w:r w:rsidR="0081664C">
        <w:rPr>
          <w:rFonts w:ascii="Calibri" w:eastAsiaTheme="minorEastAsia" w:hAnsi="Calibri" w:cs="Calibri"/>
        </w:rPr>
        <w:t>SRC-B meeting</w:t>
      </w:r>
      <w:r w:rsidR="001F2D56">
        <w:rPr>
          <w:rFonts w:ascii="Calibri" w:eastAsiaTheme="minorEastAsia" w:hAnsi="Calibri" w:cs="Calibri"/>
        </w:rPr>
        <w:t xml:space="preserve">s, and </w:t>
      </w:r>
      <w:r w:rsidR="006D5574">
        <w:rPr>
          <w:rFonts w:ascii="Calibri" w:eastAsiaTheme="minorEastAsia" w:hAnsi="Calibri" w:cs="Calibri"/>
        </w:rPr>
        <w:t>council member conference related expenses including registration</w:t>
      </w:r>
      <w:r w:rsidR="000674E6">
        <w:rPr>
          <w:rFonts w:ascii="Calibri" w:eastAsiaTheme="minorEastAsia" w:hAnsi="Calibri" w:cs="Calibri"/>
        </w:rPr>
        <w:t xml:space="preserve"> and out of state travel expenses. </w:t>
      </w:r>
      <w:r w:rsidR="0081664C">
        <w:rPr>
          <w:rFonts w:ascii="Calibri" w:eastAsiaTheme="minorEastAsia" w:hAnsi="Calibri" w:cs="Calibri"/>
        </w:rPr>
        <w:t xml:space="preserve"> </w:t>
      </w:r>
      <w:r w:rsidR="006D6F23">
        <w:rPr>
          <w:rFonts w:ascii="Calibri" w:eastAsiaTheme="minorEastAsia" w:hAnsi="Calibri" w:cs="Calibri"/>
        </w:rPr>
        <w:t>SSB</w:t>
      </w:r>
      <w:r w:rsidR="001C357C">
        <w:rPr>
          <w:rFonts w:ascii="Calibri" w:eastAsiaTheme="minorEastAsia" w:hAnsi="Calibri" w:cs="Calibri"/>
        </w:rPr>
        <w:t xml:space="preserve">’s council is very active </w:t>
      </w:r>
      <w:r w:rsidR="00B821B7">
        <w:rPr>
          <w:rFonts w:ascii="Calibri" w:eastAsiaTheme="minorEastAsia" w:hAnsi="Calibri" w:cs="Calibri"/>
        </w:rPr>
        <w:t xml:space="preserve">and interested in </w:t>
      </w:r>
      <w:r w:rsidR="003E62D0">
        <w:rPr>
          <w:rFonts w:ascii="Calibri" w:eastAsiaTheme="minorEastAsia" w:hAnsi="Calibri" w:cs="Calibri"/>
        </w:rPr>
        <w:t>the state of VR</w:t>
      </w:r>
      <w:r w:rsidR="00B25850">
        <w:rPr>
          <w:rFonts w:ascii="Calibri" w:eastAsiaTheme="minorEastAsia" w:hAnsi="Calibri" w:cs="Calibri"/>
        </w:rPr>
        <w:t xml:space="preserve"> </w:t>
      </w:r>
      <w:r w:rsidR="00583C5C">
        <w:rPr>
          <w:rFonts w:ascii="Calibri" w:eastAsiaTheme="minorEastAsia" w:hAnsi="Calibri" w:cs="Calibri"/>
        </w:rPr>
        <w:t>at the local, state</w:t>
      </w:r>
      <w:r w:rsidR="00F30785">
        <w:rPr>
          <w:rFonts w:ascii="Calibri" w:eastAsiaTheme="minorEastAsia" w:hAnsi="Calibri" w:cs="Calibri"/>
        </w:rPr>
        <w:t>,</w:t>
      </w:r>
      <w:r w:rsidR="00583C5C">
        <w:rPr>
          <w:rFonts w:ascii="Calibri" w:eastAsiaTheme="minorEastAsia" w:hAnsi="Calibri" w:cs="Calibri"/>
        </w:rPr>
        <w:t xml:space="preserve"> and federal level</w:t>
      </w:r>
      <w:r w:rsidR="00E1641E">
        <w:rPr>
          <w:rFonts w:ascii="Calibri" w:eastAsiaTheme="minorEastAsia" w:hAnsi="Calibri" w:cs="Calibri"/>
        </w:rPr>
        <w:t>;</w:t>
      </w:r>
      <w:r w:rsidR="00071B56">
        <w:rPr>
          <w:rFonts w:ascii="Calibri" w:eastAsiaTheme="minorEastAsia" w:hAnsi="Calibri" w:cs="Calibri"/>
        </w:rPr>
        <w:t xml:space="preserve"> therefore</w:t>
      </w:r>
      <w:r w:rsidR="00BA397F">
        <w:rPr>
          <w:rFonts w:ascii="Calibri" w:eastAsiaTheme="minorEastAsia" w:hAnsi="Calibri" w:cs="Calibri"/>
        </w:rPr>
        <w:t>,</w:t>
      </w:r>
      <w:r w:rsidR="00071B56">
        <w:rPr>
          <w:rFonts w:ascii="Calibri" w:eastAsiaTheme="minorEastAsia" w:hAnsi="Calibri" w:cs="Calibri"/>
        </w:rPr>
        <w:t xml:space="preserve"> </w:t>
      </w:r>
      <w:r w:rsidR="005C390D">
        <w:rPr>
          <w:rFonts w:ascii="Calibri" w:eastAsiaTheme="minorEastAsia" w:hAnsi="Calibri" w:cs="Calibri"/>
        </w:rPr>
        <w:t xml:space="preserve">funding is budgeted to send at least </w:t>
      </w:r>
      <w:r w:rsidR="00B753EC">
        <w:rPr>
          <w:rFonts w:ascii="Calibri" w:eastAsiaTheme="minorEastAsia" w:hAnsi="Calibri" w:cs="Calibri"/>
        </w:rPr>
        <w:t>one to two</w:t>
      </w:r>
      <w:r w:rsidR="005C390D">
        <w:rPr>
          <w:rFonts w:ascii="Calibri" w:eastAsiaTheme="minorEastAsia" w:hAnsi="Calibri" w:cs="Calibri"/>
        </w:rPr>
        <w:t xml:space="preserve"> council member</w:t>
      </w:r>
      <w:r w:rsidR="00B753EC">
        <w:rPr>
          <w:rFonts w:ascii="Calibri" w:eastAsiaTheme="minorEastAsia" w:hAnsi="Calibri" w:cs="Calibri"/>
        </w:rPr>
        <w:t>s</w:t>
      </w:r>
      <w:r w:rsidR="005C390D">
        <w:rPr>
          <w:rFonts w:ascii="Calibri" w:eastAsiaTheme="minorEastAsia" w:hAnsi="Calibri" w:cs="Calibri"/>
        </w:rPr>
        <w:t xml:space="preserve"> to the spring and fall CSAVR/NCSAB con</w:t>
      </w:r>
      <w:r w:rsidR="00BA397F">
        <w:rPr>
          <w:rFonts w:ascii="Calibri" w:eastAsiaTheme="minorEastAsia" w:hAnsi="Calibri" w:cs="Calibri"/>
        </w:rPr>
        <w:t xml:space="preserve">ferences. </w:t>
      </w:r>
    </w:p>
    <w:p w14:paraId="19D982AB" w14:textId="77777777" w:rsidR="00076A20" w:rsidRDefault="00076A20" w:rsidP="00D0706C">
      <w:pPr>
        <w:ind w:left="360"/>
        <w:contextualSpacing/>
        <w:rPr>
          <w:rFonts w:ascii="Calibri" w:eastAsiaTheme="minorEastAsia" w:hAnsi="Calibri" w:cs="Calibri"/>
        </w:rPr>
      </w:pPr>
    </w:p>
    <w:tbl>
      <w:tblPr>
        <w:tblW w:w="10441" w:type="dxa"/>
        <w:tblLook w:val="04A0" w:firstRow="1" w:lastRow="0" w:firstColumn="1" w:lastColumn="0" w:noHBand="0" w:noVBand="1"/>
        <w:tblCaption w:val="SRC-B FFY2024 Budget Table"/>
        <w:tblDescription w:val="Table for SRC-B FFY2024 Council Budget, Budgeted, Spent, and Balance."/>
      </w:tblPr>
      <w:tblGrid>
        <w:gridCol w:w="5724"/>
        <w:gridCol w:w="1831"/>
        <w:gridCol w:w="1345"/>
        <w:gridCol w:w="1530"/>
        <w:gridCol w:w="11"/>
      </w:tblGrid>
      <w:tr w:rsidR="00641A4C" w:rsidRPr="00641A4C" w14:paraId="5F5540BF" w14:textId="77777777" w:rsidTr="00AE22AA">
        <w:trPr>
          <w:trHeight w:val="300"/>
        </w:trPr>
        <w:tc>
          <w:tcPr>
            <w:tcW w:w="104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2BCD" w14:textId="77777777" w:rsidR="00641A4C" w:rsidRPr="00641A4C" w:rsidRDefault="00641A4C" w:rsidP="00AE22AA">
            <w:pPr>
              <w:tabs>
                <w:tab w:val="left" w:pos="6993"/>
              </w:tabs>
              <w:ind w:right="66"/>
              <w:jc w:val="center"/>
              <w:rPr>
                <w:rFonts w:ascii="Calibri" w:eastAsia="Times New Roman" w:hAnsi="Calibri" w:cs="Calibri"/>
                <w:b/>
                <w:bCs/>
                <w:sz w:val="20"/>
                <w:szCs w:val="20"/>
              </w:rPr>
            </w:pPr>
            <w:r w:rsidRPr="00641A4C">
              <w:rPr>
                <w:rFonts w:ascii="Calibri" w:eastAsia="Times New Roman" w:hAnsi="Calibri" w:cs="Calibri"/>
                <w:b/>
                <w:bCs/>
                <w:sz w:val="20"/>
                <w:szCs w:val="20"/>
              </w:rPr>
              <w:t>STATE REHABILITATION COUNCIL</w:t>
            </w:r>
          </w:p>
        </w:tc>
      </w:tr>
      <w:tr w:rsidR="00641A4C" w:rsidRPr="00641A4C" w14:paraId="2C798A2A" w14:textId="77777777" w:rsidTr="00AE22AA">
        <w:trPr>
          <w:trHeight w:val="300"/>
        </w:trPr>
        <w:tc>
          <w:tcPr>
            <w:tcW w:w="104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1C117"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FOR THE BLIND  FFY 2024</w:t>
            </w:r>
          </w:p>
        </w:tc>
      </w:tr>
      <w:tr w:rsidR="00641A4C" w:rsidRPr="00641A4C" w14:paraId="54C20F20"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4DB63BEF"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14:paraId="63260F06"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461B32CB"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C7878E1"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r>
      <w:tr w:rsidR="00641A4C" w:rsidRPr="00641A4C" w14:paraId="6D3AE10B"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33CB3217"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14:paraId="154D72AD"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FFY2024</w:t>
            </w:r>
          </w:p>
        </w:tc>
        <w:tc>
          <w:tcPr>
            <w:tcW w:w="1345" w:type="dxa"/>
            <w:tcBorders>
              <w:top w:val="nil"/>
              <w:left w:val="nil"/>
              <w:bottom w:val="single" w:sz="4" w:space="0" w:color="auto"/>
              <w:right w:val="single" w:sz="4" w:space="0" w:color="auto"/>
            </w:tcBorders>
            <w:shd w:val="clear" w:color="auto" w:fill="auto"/>
            <w:noWrap/>
            <w:vAlign w:val="bottom"/>
            <w:hideMark/>
          </w:tcPr>
          <w:p w14:paraId="573513EA"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 xml:space="preserve"> FFY 2024 </w:t>
            </w:r>
          </w:p>
        </w:tc>
        <w:tc>
          <w:tcPr>
            <w:tcW w:w="1530" w:type="dxa"/>
            <w:tcBorders>
              <w:top w:val="nil"/>
              <w:left w:val="nil"/>
              <w:bottom w:val="single" w:sz="4" w:space="0" w:color="auto"/>
              <w:right w:val="single" w:sz="4" w:space="0" w:color="auto"/>
            </w:tcBorders>
            <w:shd w:val="clear" w:color="auto" w:fill="auto"/>
            <w:noWrap/>
            <w:vAlign w:val="bottom"/>
            <w:hideMark/>
          </w:tcPr>
          <w:p w14:paraId="2A49D346"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 xml:space="preserve"> FFY2024 </w:t>
            </w:r>
          </w:p>
        </w:tc>
      </w:tr>
      <w:tr w:rsidR="00641A4C" w:rsidRPr="00641A4C" w14:paraId="5BD0195F" w14:textId="77777777" w:rsidTr="00D60408">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06D8612E" w14:textId="77777777" w:rsidR="00641A4C" w:rsidRPr="00641A4C" w:rsidRDefault="00641A4C" w:rsidP="00641A4C">
            <w:pPr>
              <w:rPr>
                <w:rFonts w:ascii="Calibri" w:eastAsia="Times New Roman" w:hAnsi="Calibri" w:cs="Calibri"/>
                <w:b/>
                <w:bCs/>
                <w:sz w:val="20"/>
                <w:szCs w:val="20"/>
              </w:rPr>
            </w:pPr>
            <w:r w:rsidRPr="00641A4C">
              <w:rPr>
                <w:rFonts w:ascii="Calibri" w:eastAsia="Times New Roman" w:hAnsi="Calibri" w:cs="Calibri"/>
                <w:b/>
                <w:bCs/>
                <w:sz w:val="20"/>
                <w:szCs w:val="20"/>
              </w:rPr>
              <w:t>COUNCIL BUDGET</w:t>
            </w:r>
          </w:p>
        </w:tc>
        <w:tc>
          <w:tcPr>
            <w:tcW w:w="1831" w:type="dxa"/>
            <w:tcBorders>
              <w:top w:val="nil"/>
              <w:left w:val="nil"/>
              <w:bottom w:val="single" w:sz="4" w:space="0" w:color="auto"/>
              <w:right w:val="single" w:sz="4" w:space="0" w:color="auto"/>
            </w:tcBorders>
            <w:shd w:val="clear" w:color="auto" w:fill="auto"/>
            <w:noWrap/>
            <w:vAlign w:val="bottom"/>
            <w:hideMark/>
          </w:tcPr>
          <w:p w14:paraId="3614D0B1"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Budgeted</w:t>
            </w:r>
          </w:p>
        </w:tc>
        <w:tc>
          <w:tcPr>
            <w:tcW w:w="1345" w:type="dxa"/>
            <w:tcBorders>
              <w:top w:val="nil"/>
              <w:left w:val="nil"/>
              <w:bottom w:val="single" w:sz="4" w:space="0" w:color="auto"/>
              <w:right w:val="single" w:sz="4" w:space="0" w:color="auto"/>
            </w:tcBorders>
            <w:shd w:val="clear" w:color="auto" w:fill="auto"/>
            <w:noWrap/>
            <w:vAlign w:val="bottom"/>
            <w:hideMark/>
          </w:tcPr>
          <w:p w14:paraId="5796EBDE" w14:textId="77777777" w:rsidR="00641A4C" w:rsidRPr="00641A4C" w:rsidRDefault="00641A4C" w:rsidP="00641A4C">
            <w:pPr>
              <w:jc w:val="center"/>
              <w:rPr>
                <w:rFonts w:ascii="Calibri" w:eastAsia="Times New Roman" w:hAnsi="Calibri" w:cs="Calibri"/>
                <w:b/>
                <w:bCs/>
                <w:color w:val="000000"/>
                <w:sz w:val="20"/>
                <w:szCs w:val="20"/>
              </w:rPr>
            </w:pPr>
            <w:r w:rsidRPr="00641A4C">
              <w:rPr>
                <w:rFonts w:ascii="Calibri" w:eastAsia="Times New Roman" w:hAnsi="Calibri" w:cs="Calibri"/>
                <w:b/>
                <w:bCs/>
                <w:color w:val="000000"/>
                <w:sz w:val="20"/>
                <w:szCs w:val="20"/>
              </w:rPr>
              <w:t xml:space="preserve"> Spent </w:t>
            </w:r>
          </w:p>
        </w:tc>
        <w:tc>
          <w:tcPr>
            <w:tcW w:w="1530" w:type="dxa"/>
            <w:tcBorders>
              <w:top w:val="nil"/>
              <w:left w:val="nil"/>
              <w:bottom w:val="single" w:sz="4" w:space="0" w:color="auto"/>
              <w:right w:val="single" w:sz="4" w:space="0" w:color="auto"/>
            </w:tcBorders>
            <w:shd w:val="clear" w:color="auto" w:fill="auto"/>
            <w:noWrap/>
            <w:vAlign w:val="bottom"/>
            <w:hideMark/>
          </w:tcPr>
          <w:p w14:paraId="53E38E1F"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 xml:space="preserve"> Balance </w:t>
            </w:r>
          </w:p>
        </w:tc>
      </w:tr>
      <w:tr w:rsidR="00641A4C" w:rsidRPr="00641A4C" w14:paraId="3CEF7BBE"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596A30BF" w14:textId="77777777" w:rsidR="00641A4C" w:rsidRPr="00641A4C" w:rsidRDefault="00641A4C" w:rsidP="00641A4C">
            <w:pPr>
              <w:rPr>
                <w:rFonts w:ascii="Calibri" w:eastAsia="Times New Roman" w:hAnsi="Calibri" w:cs="Calibri"/>
                <w:b/>
                <w:bCs/>
                <w:sz w:val="20"/>
                <w:szCs w:val="20"/>
              </w:rPr>
            </w:pPr>
            <w:r w:rsidRPr="00641A4C">
              <w:rPr>
                <w:rFonts w:ascii="Calibri" w:eastAsia="Times New Roman" w:hAnsi="Calibri" w:cs="Calibri"/>
                <w:b/>
                <w:bCs/>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14:paraId="59DCE40E"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0A25D0AB"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7C2F2F4"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 </w:t>
            </w:r>
          </w:p>
        </w:tc>
      </w:tr>
      <w:tr w:rsidR="00641A4C" w:rsidRPr="00641A4C" w14:paraId="60E271D9"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4A6B0097"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410706 Board/Council Member Comp</w:t>
            </w:r>
          </w:p>
        </w:tc>
        <w:tc>
          <w:tcPr>
            <w:tcW w:w="1831" w:type="dxa"/>
            <w:tcBorders>
              <w:top w:val="nil"/>
              <w:left w:val="nil"/>
              <w:bottom w:val="single" w:sz="4" w:space="0" w:color="auto"/>
              <w:right w:val="single" w:sz="4" w:space="0" w:color="auto"/>
            </w:tcBorders>
            <w:shd w:val="clear" w:color="auto" w:fill="auto"/>
            <w:noWrap/>
            <w:vAlign w:val="bottom"/>
            <w:hideMark/>
          </w:tcPr>
          <w:p w14:paraId="06026F29"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6,000 </w:t>
            </w:r>
          </w:p>
        </w:tc>
        <w:tc>
          <w:tcPr>
            <w:tcW w:w="1345" w:type="dxa"/>
            <w:tcBorders>
              <w:top w:val="nil"/>
              <w:left w:val="nil"/>
              <w:bottom w:val="single" w:sz="4" w:space="0" w:color="auto"/>
              <w:right w:val="single" w:sz="4" w:space="0" w:color="auto"/>
            </w:tcBorders>
            <w:shd w:val="clear" w:color="auto" w:fill="auto"/>
            <w:noWrap/>
            <w:vAlign w:val="bottom"/>
            <w:hideMark/>
          </w:tcPr>
          <w:p w14:paraId="266F2441" w14:textId="1AECD7B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10CE9979"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6,000 </w:t>
            </w:r>
          </w:p>
        </w:tc>
      </w:tr>
      <w:tr w:rsidR="00641A4C" w:rsidRPr="00641A4C" w14:paraId="5B1FE181"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6A368931"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Conference Per Diem Per 2 Participants x 4 conferences</w:t>
            </w:r>
          </w:p>
        </w:tc>
        <w:tc>
          <w:tcPr>
            <w:tcW w:w="1831" w:type="dxa"/>
            <w:tcBorders>
              <w:top w:val="nil"/>
              <w:left w:val="nil"/>
              <w:bottom w:val="single" w:sz="4" w:space="0" w:color="auto"/>
              <w:right w:val="single" w:sz="4" w:space="0" w:color="auto"/>
            </w:tcBorders>
            <w:shd w:val="clear" w:color="auto" w:fill="auto"/>
            <w:noWrap/>
            <w:vAlign w:val="bottom"/>
            <w:hideMark/>
          </w:tcPr>
          <w:p w14:paraId="493A0434"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w:t>
            </w:r>
          </w:p>
        </w:tc>
        <w:tc>
          <w:tcPr>
            <w:tcW w:w="1345" w:type="dxa"/>
            <w:tcBorders>
              <w:top w:val="nil"/>
              <w:left w:val="nil"/>
              <w:bottom w:val="single" w:sz="4" w:space="0" w:color="auto"/>
              <w:right w:val="single" w:sz="4" w:space="0" w:color="auto"/>
            </w:tcBorders>
            <w:shd w:val="clear" w:color="auto" w:fill="auto"/>
            <w:noWrap/>
            <w:vAlign w:val="bottom"/>
            <w:hideMark/>
          </w:tcPr>
          <w:p w14:paraId="51C00BD7"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F9325D9"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w:t>
            </w:r>
          </w:p>
        </w:tc>
      </w:tr>
      <w:tr w:rsidR="00641A4C" w:rsidRPr="00641A4C" w14:paraId="269224DD"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711AEC60"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411313 Court Reporter &amp; Transcriber</w:t>
            </w:r>
          </w:p>
        </w:tc>
        <w:tc>
          <w:tcPr>
            <w:tcW w:w="1831" w:type="dxa"/>
            <w:tcBorders>
              <w:top w:val="nil"/>
              <w:left w:val="nil"/>
              <w:bottom w:val="single" w:sz="4" w:space="0" w:color="auto"/>
              <w:right w:val="single" w:sz="4" w:space="0" w:color="auto"/>
            </w:tcBorders>
            <w:shd w:val="clear" w:color="auto" w:fill="auto"/>
            <w:noWrap/>
            <w:vAlign w:val="bottom"/>
            <w:hideMark/>
          </w:tcPr>
          <w:p w14:paraId="30EB08E6"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3,100 </w:t>
            </w:r>
          </w:p>
        </w:tc>
        <w:tc>
          <w:tcPr>
            <w:tcW w:w="1345" w:type="dxa"/>
            <w:tcBorders>
              <w:top w:val="nil"/>
              <w:left w:val="nil"/>
              <w:bottom w:val="single" w:sz="4" w:space="0" w:color="auto"/>
              <w:right w:val="single" w:sz="4" w:space="0" w:color="auto"/>
            </w:tcBorders>
            <w:shd w:val="clear" w:color="auto" w:fill="auto"/>
            <w:noWrap/>
            <w:vAlign w:val="bottom"/>
            <w:hideMark/>
          </w:tcPr>
          <w:p w14:paraId="43C13A4B" w14:textId="657A2BBD"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66E627CF"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3,100 </w:t>
            </w:r>
          </w:p>
        </w:tc>
      </w:tr>
      <w:tr w:rsidR="00641A4C" w:rsidRPr="00641A4C" w14:paraId="6DBC28C4"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4F9D0501"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411319 Educational-Instruction Serv</w:t>
            </w:r>
          </w:p>
        </w:tc>
        <w:tc>
          <w:tcPr>
            <w:tcW w:w="1831" w:type="dxa"/>
            <w:tcBorders>
              <w:top w:val="nil"/>
              <w:left w:val="nil"/>
              <w:bottom w:val="single" w:sz="4" w:space="0" w:color="auto"/>
              <w:right w:val="single" w:sz="4" w:space="0" w:color="auto"/>
            </w:tcBorders>
            <w:shd w:val="clear" w:color="auto" w:fill="auto"/>
            <w:noWrap/>
            <w:vAlign w:val="bottom"/>
            <w:hideMark/>
          </w:tcPr>
          <w:p w14:paraId="55D5E595"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1,360 </w:t>
            </w:r>
          </w:p>
        </w:tc>
        <w:tc>
          <w:tcPr>
            <w:tcW w:w="1345" w:type="dxa"/>
            <w:tcBorders>
              <w:top w:val="nil"/>
              <w:left w:val="nil"/>
              <w:bottom w:val="single" w:sz="4" w:space="0" w:color="auto"/>
              <w:right w:val="single" w:sz="4" w:space="0" w:color="auto"/>
            </w:tcBorders>
            <w:shd w:val="clear" w:color="auto" w:fill="auto"/>
            <w:noWrap/>
            <w:vAlign w:val="bottom"/>
            <w:hideMark/>
          </w:tcPr>
          <w:p w14:paraId="09D56664"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C5B4F6"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1,360 </w:t>
            </w:r>
          </w:p>
        </w:tc>
      </w:tr>
      <w:tr w:rsidR="00641A4C" w:rsidRPr="00641A4C" w14:paraId="3F1BAF57"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6674DA84"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411601 Travel Expense - In-State (uber, mileage, food)</w:t>
            </w:r>
          </w:p>
        </w:tc>
        <w:tc>
          <w:tcPr>
            <w:tcW w:w="1831" w:type="dxa"/>
            <w:tcBorders>
              <w:top w:val="nil"/>
              <w:left w:val="nil"/>
              <w:bottom w:val="single" w:sz="4" w:space="0" w:color="auto"/>
              <w:right w:val="single" w:sz="4" w:space="0" w:color="auto"/>
            </w:tcBorders>
            <w:shd w:val="clear" w:color="auto" w:fill="auto"/>
            <w:noWrap/>
            <w:vAlign w:val="bottom"/>
            <w:hideMark/>
          </w:tcPr>
          <w:p w14:paraId="2BEFE8C6"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1,000 </w:t>
            </w:r>
          </w:p>
        </w:tc>
        <w:tc>
          <w:tcPr>
            <w:tcW w:w="1345" w:type="dxa"/>
            <w:tcBorders>
              <w:top w:val="nil"/>
              <w:left w:val="nil"/>
              <w:bottom w:val="single" w:sz="4" w:space="0" w:color="auto"/>
              <w:right w:val="single" w:sz="4" w:space="0" w:color="auto"/>
            </w:tcBorders>
            <w:shd w:val="clear" w:color="auto" w:fill="auto"/>
            <w:noWrap/>
            <w:vAlign w:val="bottom"/>
            <w:hideMark/>
          </w:tcPr>
          <w:p w14:paraId="2DC1C035" w14:textId="0B1C4A18"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7CF787A5"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1,000 </w:t>
            </w:r>
          </w:p>
        </w:tc>
      </w:tr>
      <w:tr w:rsidR="00641A4C" w:rsidRPr="00641A4C" w14:paraId="46C0967C"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242273C0"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411602 Living Expense - In-State   (hotel only)</w:t>
            </w:r>
          </w:p>
        </w:tc>
        <w:tc>
          <w:tcPr>
            <w:tcW w:w="1831" w:type="dxa"/>
            <w:tcBorders>
              <w:top w:val="nil"/>
              <w:left w:val="nil"/>
              <w:bottom w:val="single" w:sz="4" w:space="0" w:color="auto"/>
              <w:right w:val="single" w:sz="4" w:space="0" w:color="auto"/>
            </w:tcBorders>
            <w:shd w:val="clear" w:color="auto" w:fill="auto"/>
            <w:noWrap/>
            <w:vAlign w:val="bottom"/>
            <w:hideMark/>
          </w:tcPr>
          <w:p w14:paraId="58BF49BE"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400 </w:t>
            </w:r>
          </w:p>
        </w:tc>
        <w:tc>
          <w:tcPr>
            <w:tcW w:w="1345" w:type="dxa"/>
            <w:tcBorders>
              <w:top w:val="nil"/>
              <w:left w:val="nil"/>
              <w:bottom w:val="single" w:sz="4" w:space="0" w:color="auto"/>
              <w:right w:val="single" w:sz="4" w:space="0" w:color="auto"/>
            </w:tcBorders>
            <w:shd w:val="clear" w:color="auto" w:fill="auto"/>
            <w:noWrap/>
            <w:vAlign w:val="bottom"/>
            <w:hideMark/>
          </w:tcPr>
          <w:p w14:paraId="3D7CD251"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89D5486"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400 </w:t>
            </w:r>
          </w:p>
        </w:tc>
      </w:tr>
      <w:tr w:rsidR="00641A4C" w:rsidRPr="00641A4C" w14:paraId="1363F099"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6559EBFC"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411605 Private Auto Mileage In State</w:t>
            </w:r>
          </w:p>
        </w:tc>
        <w:tc>
          <w:tcPr>
            <w:tcW w:w="1831" w:type="dxa"/>
            <w:tcBorders>
              <w:top w:val="nil"/>
              <w:left w:val="nil"/>
              <w:bottom w:val="single" w:sz="4" w:space="0" w:color="auto"/>
              <w:right w:val="single" w:sz="4" w:space="0" w:color="auto"/>
            </w:tcBorders>
            <w:shd w:val="clear" w:color="auto" w:fill="auto"/>
            <w:noWrap/>
            <w:vAlign w:val="bottom"/>
            <w:hideMark/>
          </w:tcPr>
          <w:p w14:paraId="45BF13B0"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700 </w:t>
            </w:r>
          </w:p>
        </w:tc>
        <w:tc>
          <w:tcPr>
            <w:tcW w:w="1345" w:type="dxa"/>
            <w:tcBorders>
              <w:top w:val="nil"/>
              <w:left w:val="nil"/>
              <w:bottom w:val="single" w:sz="4" w:space="0" w:color="auto"/>
              <w:right w:val="single" w:sz="4" w:space="0" w:color="auto"/>
            </w:tcBorders>
            <w:shd w:val="clear" w:color="auto" w:fill="auto"/>
            <w:noWrap/>
            <w:vAlign w:val="bottom"/>
            <w:hideMark/>
          </w:tcPr>
          <w:p w14:paraId="4E632B6A" w14:textId="5753408D"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4D85719A"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700 </w:t>
            </w:r>
          </w:p>
        </w:tc>
      </w:tr>
      <w:tr w:rsidR="00641A4C" w:rsidRPr="00641A4C" w14:paraId="32A79BB4"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7C11D447" w14:textId="05E6815A"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411701 Travel Expense Out of State (Air,</w:t>
            </w:r>
            <w:r w:rsidR="00D77D63">
              <w:rPr>
                <w:rFonts w:ascii="Calibri" w:eastAsia="Times New Roman" w:hAnsi="Calibri" w:cs="Calibri"/>
                <w:sz w:val="20"/>
                <w:szCs w:val="20"/>
              </w:rPr>
              <w:t xml:space="preserve"> </w:t>
            </w:r>
            <w:r w:rsidRPr="00641A4C">
              <w:rPr>
                <w:rFonts w:ascii="Calibri" w:eastAsia="Times New Roman" w:hAnsi="Calibri" w:cs="Calibri"/>
                <w:sz w:val="20"/>
                <w:szCs w:val="20"/>
              </w:rPr>
              <w:t>Uber,</w:t>
            </w:r>
            <w:r w:rsidR="00D77D63">
              <w:rPr>
                <w:rFonts w:ascii="Calibri" w:eastAsia="Times New Roman" w:hAnsi="Calibri" w:cs="Calibri"/>
                <w:sz w:val="20"/>
                <w:szCs w:val="20"/>
              </w:rPr>
              <w:t xml:space="preserve"> </w:t>
            </w:r>
            <w:r w:rsidRPr="00641A4C">
              <w:rPr>
                <w:rFonts w:ascii="Calibri" w:eastAsia="Times New Roman" w:hAnsi="Calibri" w:cs="Calibri"/>
                <w:sz w:val="20"/>
                <w:szCs w:val="20"/>
              </w:rPr>
              <w:t>Mileage &amp; Food)</w:t>
            </w:r>
          </w:p>
        </w:tc>
        <w:tc>
          <w:tcPr>
            <w:tcW w:w="1831" w:type="dxa"/>
            <w:tcBorders>
              <w:top w:val="nil"/>
              <w:left w:val="nil"/>
              <w:bottom w:val="single" w:sz="4" w:space="0" w:color="auto"/>
              <w:right w:val="single" w:sz="4" w:space="0" w:color="auto"/>
            </w:tcBorders>
            <w:shd w:val="clear" w:color="auto" w:fill="auto"/>
            <w:noWrap/>
            <w:vAlign w:val="bottom"/>
            <w:hideMark/>
          </w:tcPr>
          <w:p w14:paraId="5309988F"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5,000 </w:t>
            </w:r>
          </w:p>
        </w:tc>
        <w:tc>
          <w:tcPr>
            <w:tcW w:w="1345" w:type="dxa"/>
            <w:tcBorders>
              <w:top w:val="nil"/>
              <w:left w:val="nil"/>
              <w:bottom w:val="single" w:sz="4" w:space="0" w:color="auto"/>
              <w:right w:val="single" w:sz="4" w:space="0" w:color="auto"/>
            </w:tcBorders>
            <w:shd w:val="clear" w:color="auto" w:fill="auto"/>
            <w:noWrap/>
            <w:vAlign w:val="bottom"/>
            <w:hideMark/>
          </w:tcPr>
          <w:p w14:paraId="322E8E07" w14:textId="7E3C09C5"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3F0B617C"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5,000 </w:t>
            </w:r>
          </w:p>
        </w:tc>
      </w:tr>
      <w:tr w:rsidR="00641A4C" w:rsidRPr="00641A4C" w14:paraId="45D2565E"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630D1112"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411702 Living Expense Out of State(hotel)</w:t>
            </w:r>
          </w:p>
        </w:tc>
        <w:tc>
          <w:tcPr>
            <w:tcW w:w="1831" w:type="dxa"/>
            <w:tcBorders>
              <w:top w:val="nil"/>
              <w:left w:val="nil"/>
              <w:bottom w:val="single" w:sz="4" w:space="0" w:color="auto"/>
              <w:right w:val="single" w:sz="4" w:space="0" w:color="auto"/>
            </w:tcBorders>
            <w:shd w:val="clear" w:color="auto" w:fill="auto"/>
            <w:noWrap/>
            <w:vAlign w:val="bottom"/>
            <w:hideMark/>
          </w:tcPr>
          <w:p w14:paraId="0754C0BA"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4,500 </w:t>
            </w:r>
          </w:p>
        </w:tc>
        <w:tc>
          <w:tcPr>
            <w:tcW w:w="1345" w:type="dxa"/>
            <w:tcBorders>
              <w:top w:val="nil"/>
              <w:left w:val="nil"/>
              <w:bottom w:val="single" w:sz="4" w:space="0" w:color="auto"/>
              <w:right w:val="single" w:sz="4" w:space="0" w:color="auto"/>
            </w:tcBorders>
            <w:shd w:val="clear" w:color="auto" w:fill="auto"/>
            <w:noWrap/>
            <w:vAlign w:val="bottom"/>
            <w:hideMark/>
          </w:tcPr>
          <w:p w14:paraId="5972433C" w14:textId="094D74C8"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0F8A4052"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4,500 </w:t>
            </w:r>
          </w:p>
        </w:tc>
      </w:tr>
      <w:tr w:rsidR="00641A4C" w:rsidRPr="00641A4C" w14:paraId="0C062AC5"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3148200D"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411705-Private mileage (Out of State)</w:t>
            </w:r>
          </w:p>
        </w:tc>
        <w:tc>
          <w:tcPr>
            <w:tcW w:w="1831" w:type="dxa"/>
            <w:tcBorders>
              <w:top w:val="nil"/>
              <w:left w:val="nil"/>
              <w:bottom w:val="single" w:sz="4" w:space="0" w:color="auto"/>
              <w:right w:val="single" w:sz="4" w:space="0" w:color="auto"/>
            </w:tcBorders>
            <w:shd w:val="clear" w:color="auto" w:fill="auto"/>
            <w:noWrap/>
            <w:vAlign w:val="bottom"/>
            <w:hideMark/>
          </w:tcPr>
          <w:p w14:paraId="37026CA3"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 </w:t>
            </w:r>
          </w:p>
        </w:tc>
        <w:tc>
          <w:tcPr>
            <w:tcW w:w="1345" w:type="dxa"/>
            <w:tcBorders>
              <w:top w:val="nil"/>
              <w:left w:val="nil"/>
              <w:bottom w:val="single" w:sz="4" w:space="0" w:color="auto"/>
              <w:right w:val="single" w:sz="4" w:space="0" w:color="auto"/>
            </w:tcBorders>
            <w:shd w:val="clear" w:color="auto" w:fill="auto"/>
            <w:noWrap/>
            <w:vAlign w:val="bottom"/>
            <w:hideMark/>
          </w:tcPr>
          <w:p w14:paraId="730E81DA" w14:textId="6529A28A"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0E9883D5"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 </w:t>
            </w:r>
          </w:p>
        </w:tc>
      </w:tr>
      <w:tr w:rsidR="00641A4C" w:rsidRPr="00641A4C" w14:paraId="6963F698"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63A3775E"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lastRenderedPageBreak/>
              <w:t>413001- Awards/Supplies</w:t>
            </w:r>
          </w:p>
        </w:tc>
        <w:tc>
          <w:tcPr>
            <w:tcW w:w="1831" w:type="dxa"/>
            <w:tcBorders>
              <w:top w:val="nil"/>
              <w:left w:val="nil"/>
              <w:bottom w:val="single" w:sz="4" w:space="0" w:color="auto"/>
              <w:right w:val="single" w:sz="4" w:space="0" w:color="auto"/>
            </w:tcBorders>
            <w:shd w:val="clear" w:color="auto" w:fill="auto"/>
            <w:noWrap/>
            <w:vAlign w:val="bottom"/>
            <w:hideMark/>
          </w:tcPr>
          <w:p w14:paraId="11274D02"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350 </w:t>
            </w:r>
          </w:p>
        </w:tc>
        <w:tc>
          <w:tcPr>
            <w:tcW w:w="1345" w:type="dxa"/>
            <w:tcBorders>
              <w:top w:val="nil"/>
              <w:left w:val="nil"/>
              <w:bottom w:val="single" w:sz="4" w:space="0" w:color="auto"/>
              <w:right w:val="single" w:sz="4" w:space="0" w:color="auto"/>
            </w:tcBorders>
            <w:shd w:val="clear" w:color="auto" w:fill="auto"/>
            <w:noWrap/>
            <w:vAlign w:val="bottom"/>
            <w:hideMark/>
          </w:tcPr>
          <w:p w14:paraId="2BC202DF" w14:textId="1538926E"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4CF4E0E1"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350 </w:t>
            </w:r>
          </w:p>
        </w:tc>
      </w:tr>
      <w:tr w:rsidR="00641A4C" w:rsidRPr="00641A4C" w14:paraId="0DA6CDC1" w14:textId="77777777" w:rsidTr="006F7B47">
        <w:trPr>
          <w:gridAfter w:val="1"/>
          <w:wAfter w:w="11" w:type="dxa"/>
          <w:trHeight w:val="302"/>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3AF823C6" w14:textId="2168DED4"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411803 Regist</w:t>
            </w:r>
            <w:r w:rsidR="00D77D63">
              <w:rPr>
                <w:rFonts w:ascii="Calibri" w:eastAsia="Times New Roman" w:hAnsi="Calibri" w:cs="Calibri"/>
                <w:sz w:val="20"/>
                <w:szCs w:val="20"/>
              </w:rPr>
              <w:t>ration</w:t>
            </w:r>
            <w:r w:rsidRPr="00641A4C">
              <w:rPr>
                <w:rFonts w:ascii="Calibri" w:eastAsia="Times New Roman" w:hAnsi="Calibri" w:cs="Calibri"/>
                <w:sz w:val="20"/>
                <w:szCs w:val="20"/>
              </w:rPr>
              <w:t xml:space="preserve"> Fees-Conf-Sem Out </w:t>
            </w:r>
            <w:proofErr w:type="spellStart"/>
            <w:r w:rsidRPr="00641A4C">
              <w:rPr>
                <w:rFonts w:ascii="Calibri" w:eastAsia="Times New Roman" w:hAnsi="Calibri" w:cs="Calibri"/>
                <w:sz w:val="20"/>
                <w:szCs w:val="20"/>
              </w:rPr>
              <w:t>StP</w:t>
            </w:r>
            <w:proofErr w:type="spellEnd"/>
          </w:p>
        </w:tc>
        <w:tc>
          <w:tcPr>
            <w:tcW w:w="1831" w:type="dxa"/>
            <w:tcBorders>
              <w:top w:val="nil"/>
              <w:left w:val="nil"/>
              <w:bottom w:val="single" w:sz="4" w:space="0" w:color="auto"/>
              <w:right w:val="single" w:sz="4" w:space="0" w:color="auto"/>
            </w:tcBorders>
            <w:shd w:val="clear" w:color="auto" w:fill="auto"/>
            <w:noWrap/>
            <w:vAlign w:val="bottom"/>
            <w:hideMark/>
          </w:tcPr>
          <w:p w14:paraId="5C8134C0"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4,000 </w:t>
            </w:r>
          </w:p>
        </w:tc>
        <w:tc>
          <w:tcPr>
            <w:tcW w:w="1345" w:type="dxa"/>
            <w:tcBorders>
              <w:top w:val="nil"/>
              <w:left w:val="nil"/>
              <w:bottom w:val="single" w:sz="4" w:space="0" w:color="auto"/>
              <w:right w:val="single" w:sz="4" w:space="0" w:color="auto"/>
            </w:tcBorders>
            <w:shd w:val="clear" w:color="auto" w:fill="auto"/>
            <w:noWrap/>
            <w:vAlign w:val="bottom"/>
            <w:hideMark/>
          </w:tcPr>
          <w:p w14:paraId="63D19113" w14:textId="4E1B224F"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79B7723F"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4,000 </w:t>
            </w:r>
          </w:p>
        </w:tc>
      </w:tr>
      <w:tr w:rsidR="00641A4C" w:rsidRPr="00641A4C" w14:paraId="79E4DF30"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53302A1F"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413006 Food (Not Food Service)</w:t>
            </w:r>
          </w:p>
        </w:tc>
        <w:tc>
          <w:tcPr>
            <w:tcW w:w="1831" w:type="dxa"/>
            <w:tcBorders>
              <w:top w:val="nil"/>
              <w:left w:val="nil"/>
              <w:bottom w:val="single" w:sz="4" w:space="0" w:color="auto"/>
              <w:right w:val="single" w:sz="4" w:space="0" w:color="auto"/>
            </w:tcBorders>
            <w:shd w:val="clear" w:color="auto" w:fill="auto"/>
            <w:noWrap/>
            <w:vAlign w:val="bottom"/>
            <w:hideMark/>
          </w:tcPr>
          <w:p w14:paraId="79CCCC43"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1,500 </w:t>
            </w:r>
          </w:p>
        </w:tc>
        <w:tc>
          <w:tcPr>
            <w:tcW w:w="1345" w:type="dxa"/>
            <w:tcBorders>
              <w:top w:val="nil"/>
              <w:left w:val="nil"/>
              <w:bottom w:val="single" w:sz="4" w:space="0" w:color="auto"/>
              <w:right w:val="single" w:sz="4" w:space="0" w:color="auto"/>
            </w:tcBorders>
            <w:shd w:val="clear" w:color="auto" w:fill="auto"/>
            <w:noWrap/>
            <w:vAlign w:val="bottom"/>
            <w:hideMark/>
          </w:tcPr>
          <w:p w14:paraId="40C520D9" w14:textId="02000CA4"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6589FE12"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1,500 </w:t>
            </w:r>
          </w:p>
        </w:tc>
      </w:tr>
      <w:tr w:rsidR="00641A4C" w:rsidRPr="00641A4C" w14:paraId="3F3AF603"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5C532ECB"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415001 Repair To Equip And Furniture</w:t>
            </w:r>
          </w:p>
        </w:tc>
        <w:tc>
          <w:tcPr>
            <w:tcW w:w="1831" w:type="dxa"/>
            <w:tcBorders>
              <w:top w:val="nil"/>
              <w:left w:val="nil"/>
              <w:bottom w:val="single" w:sz="4" w:space="0" w:color="auto"/>
              <w:right w:val="single" w:sz="4" w:space="0" w:color="auto"/>
            </w:tcBorders>
            <w:shd w:val="clear" w:color="auto" w:fill="auto"/>
            <w:noWrap/>
            <w:vAlign w:val="bottom"/>
            <w:hideMark/>
          </w:tcPr>
          <w:p w14:paraId="7E371369"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 </w:t>
            </w:r>
          </w:p>
        </w:tc>
        <w:tc>
          <w:tcPr>
            <w:tcW w:w="1345" w:type="dxa"/>
            <w:tcBorders>
              <w:top w:val="nil"/>
              <w:left w:val="nil"/>
              <w:bottom w:val="single" w:sz="4" w:space="0" w:color="auto"/>
              <w:right w:val="single" w:sz="4" w:space="0" w:color="auto"/>
            </w:tcBorders>
            <w:shd w:val="clear" w:color="auto" w:fill="auto"/>
            <w:noWrap/>
            <w:vAlign w:val="bottom"/>
            <w:hideMark/>
          </w:tcPr>
          <w:p w14:paraId="21F0920A"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51F5CE1"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 </w:t>
            </w:r>
          </w:p>
        </w:tc>
      </w:tr>
      <w:tr w:rsidR="00641A4C" w:rsidRPr="00641A4C" w14:paraId="17710179"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53FC9580"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430001 Other Purchased Services (Interpreters) including</w:t>
            </w:r>
          </w:p>
        </w:tc>
        <w:tc>
          <w:tcPr>
            <w:tcW w:w="1831" w:type="dxa"/>
            <w:tcBorders>
              <w:top w:val="nil"/>
              <w:left w:val="nil"/>
              <w:bottom w:val="single" w:sz="4" w:space="0" w:color="auto"/>
              <w:right w:val="single" w:sz="4" w:space="0" w:color="auto"/>
            </w:tcBorders>
            <w:shd w:val="clear" w:color="auto" w:fill="auto"/>
            <w:noWrap/>
            <w:vAlign w:val="bottom"/>
            <w:hideMark/>
          </w:tcPr>
          <w:p w14:paraId="1C00231F"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7,820 </w:t>
            </w:r>
          </w:p>
        </w:tc>
        <w:tc>
          <w:tcPr>
            <w:tcW w:w="1345" w:type="dxa"/>
            <w:tcBorders>
              <w:top w:val="nil"/>
              <w:left w:val="nil"/>
              <w:bottom w:val="single" w:sz="4" w:space="0" w:color="auto"/>
              <w:right w:val="single" w:sz="4" w:space="0" w:color="auto"/>
            </w:tcBorders>
            <w:shd w:val="clear" w:color="auto" w:fill="auto"/>
            <w:noWrap/>
            <w:vAlign w:val="bottom"/>
            <w:hideMark/>
          </w:tcPr>
          <w:p w14:paraId="4C502B03" w14:textId="78FAF1CC"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14:paraId="3A8EE842"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7,820 </w:t>
            </w:r>
          </w:p>
        </w:tc>
      </w:tr>
      <w:tr w:rsidR="00641A4C" w:rsidRPr="00641A4C" w14:paraId="2F26AAFF"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65523C19"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Veritext - Close Captioning</w:t>
            </w:r>
          </w:p>
        </w:tc>
        <w:tc>
          <w:tcPr>
            <w:tcW w:w="1831" w:type="dxa"/>
            <w:tcBorders>
              <w:top w:val="nil"/>
              <w:left w:val="nil"/>
              <w:bottom w:val="single" w:sz="4" w:space="0" w:color="auto"/>
              <w:right w:val="single" w:sz="4" w:space="0" w:color="auto"/>
            </w:tcBorders>
            <w:shd w:val="clear" w:color="auto" w:fill="auto"/>
            <w:noWrap/>
            <w:vAlign w:val="bottom"/>
            <w:hideMark/>
          </w:tcPr>
          <w:p w14:paraId="1ED86D51"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w:t>
            </w:r>
          </w:p>
        </w:tc>
        <w:tc>
          <w:tcPr>
            <w:tcW w:w="1345" w:type="dxa"/>
            <w:tcBorders>
              <w:top w:val="nil"/>
              <w:left w:val="nil"/>
              <w:bottom w:val="single" w:sz="4" w:space="0" w:color="auto"/>
              <w:right w:val="single" w:sz="4" w:space="0" w:color="auto"/>
            </w:tcBorders>
            <w:shd w:val="clear" w:color="auto" w:fill="auto"/>
            <w:noWrap/>
            <w:vAlign w:val="bottom"/>
            <w:hideMark/>
          </w:tcPr>
          <w:p w14:paraId="6FE674EB"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14:paraId="772059EC"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w:t>
            </w:r>
          </w:p>
        </w:tc>
      </w:tr>
      <w:tr w:rsidR="00641A4C" w:rsidRPr="00641A4C" w14:paraId="0B03E05A"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797AC0A4"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430007 Transportation Paid to Vendor</w:t>
            </w:r>
          </w:p>
        </w:tc>
        <w:tc>
          <w:tcPr>
            <w:tcW w:w="1831" w:type="dxa"/>
            <w:tcBorders>
              <w:top w:val="nil"/>
              <w:left w:val="nil"/>
              <w:bottom w:val="single" w:sz="4" w:space="0" w:color="auto"/>
              <w:right w:val="single" w:sz="4" w:space="0" w:color="auto"/>
            </w:tcBorders>
            <w:shd w:val="clear" w:color="auto" w:fill="auto"/>
            <w:noWrap/>
            <w:vAlign w:val="bottom"/>
            <w:hideMark/>
          </w:tcPr>
          <w:p w14:paraId="753D42C5"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 </w:t>
            </w:r>
          </w:p>
        </w:tc>
        <w:tc>
          <w:tcPr>
            <w:tcW w:w="1345" w:type="dxa"/>
            <w:tcBorders>
              <w:top w:val="nil"/>
              <w:left w:val="nil"/>
              <w:bottom w:val="single" w:sz="4" w:space="0" w:color="auto"/>
              <w:right w:val="single" w:sz="4" w:space="0" w:color="auto"/>
            </w:tcBorders>
            <w:shd w:val="clear" w:color="auto" w:fill="auto"/>
            <w:noWrap/>
            <w:vAlign w:val="bottom"/>
            <w:hideMark/>
          </w:tcPr>
          <w:p w14:paraId="4A376EAF"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9E17CD"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w:t>
            </w:r>
          </w:p>
        </w:tc>
      </w:tr>
      <w:tr w:rsidR="00641A4C" w:rsidRPr="00641A4C" w14:paraId="218D1120"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2EC29E1C"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w:t>
            </w:r>
          </w:p>
        </w:tc>
        <w:tc>
          <w:tcPr>
            <w:tcW w:w="1831" w:type="dxa"/>
            <w:tcBorders>
              <w:top w:val="nil"/>
              <w:left w:val="nil"/>
              <w:bottom w:val="single" w:sz="4" w:space="0" w:color="auto"/>
              <w:right w:val="single" w:sz="4" w:space="0" w:color="auto"/>
            </w:tcBorders>
            <w:shd w:val="clear" w:color="auto" w:fill="auto"/>
            <w:noWrap/>
            <w:vAlign w:val="bottom"/>
            <w:hideMark/>
          </w:tcPr>
          <w:p w14:paraId="7B386199"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3D052B16" w14:textId="77777777" w:rsidR="00641A4C" w:rsidRPr="00641A4C" w:rsidRDefault="00641A4C" w:rsidP="00641A4C">
            <w:pPr>
              <w:rPr>
                <w:rFonts w:ascii="Calibri" w:eastAsia="Times New Roman" w:hAnsi="Calibri" w:cs="Calibri"/>
                <w:color w:val="000000"/>
                <w:sz w:val="20"/>
                <w:szCs w:val="20"/>
              </w:rPr>
            </w:pPr>
            <w:r w:rsidRPr="00641A4C">
              <w:rPr>
                <w:rFonts w:ascii="Calibri" w:eastAsia="Times New Roman" w:hAnsi="Calibri" w:cs="Calibri"/>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52B241"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w:t>
            </w:r>
          </w:p>
        </w:tc>
      </w:tr>
      <w:tr w:rsidR="00641A4C" w:rsidRPr="00641A4C" w14:paraId="30642AE4" w14:textId="77777777" w:rsidTr="00AE22AA">
        <w:trPr>
          <w:gridAfter w:val="1"/>
          <w:wAfter w:w="11" w:type="dxa"/>
          <w:trHeight w:val="300"/>
        </w:trPr>
        <w:tc>
          <w:tcPr>
            <w:tcW w:w="5724" w:type="dxa"/>
            <w:tcBorders>
              <w:top w:val="nil"/>
              <w:left w:val="single" w:sz="4" w:space="0" w:color="auto"/>
              <w:bottom w:val="single" w:sz="4" w:space="0" w:color="auto"/>
              <w:right w:val="single" w:sz="4" w:space="0" w:color="auto"/>
            </w:tcBorders>
            <w:shd w:val="clear" w:color="auto" w:fill="auto"/>
            <w:noWrap/>
            <w:vAlign w:val="bottom"/>
            <w:hideMark/>
          </w:tcPr>
          <w:p w14:paraId="3BD6C43A" w14:textId="77777777" w:rsidR="00641A4C" w:rsidRPr="00641A4C" w:rsidRDefault="00641A4C" w:rsidP="00641A4C">
            <w:pPr>
              <w:jc w:val="center"/>
              <w:rPr>
                <w:rFonts w:ascii="Calibri" w:eastAsia="Times New Roman" w:hAnsi="Calibri" w:cs="Calibri"/>
                <w:b/>
                <w:bCs/>
                <w:sz w:val="20"/>
                <w:szCs w:val="20"/>
              </w:rPr>
            </w:pPr>
            <w:r w:rsidRPr="00641A4C">
              <w:rPr>
                <w:rFonts w:ascii="Calibri" w:eastAsia="Times New Roman" w:hAnsi="Calibri" w:cs="Calibri"/>
                <w:b/>
                <w:bCs/>
                <w:sz w:val="20"/>
                <w:szCs w:val="20"/>
              </w:rPr>
              <w:t>TOTAL EXPENDITURES</w:t>
            </w:r>
          </w:p>
        </w:tc>
        <w:tc>
          <w:tcPr>
            <w:tcW w:w="1831" w:type="dxa"/>
            <w:tcBorders>
              <w:top w:val="nil"/>
              <w:left w:val="nil"/>
              <w:bottom w:val="single" w:sz="4" w:space="0" w:color="auto"/>
              <w:right w:val="single" w:sz="4" w:space="0" w:color="auto"/>
            </w:tcBorders>
            <w:shd w:val="clear" w:color="auto" w:fill="auto"/>
            <w:noWrap/>
            <w:vAlign w:val="bottom"/>
            <w:hideMark/>
          </w:tcPr>
          <w:p w14:paraId="3932C97A"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35,730 </w:t>
            </w:r>
          </w:p>
        </w:tc>
        <w:tc>
          <w:tcPr>
            <w:tcW w:w="1345" w:type="dxa"/>
            <w:tcBorders>
              <w:top w:val="nil"/>
              <w:left w:val="nil"/>
              <w:bottom w:val="single" w:sz="4" w:space="0" w:color="auto"/>
              <w:right w:val="single" w:sz="4" w:space="0" w:color="auto"/>
            </w:tcBorders>
            <w:shd w:val="clear" w:color="auto" w:fill="auto"/>
            <w:noWrap/>
            <w:vAlign w:val="bottom"/>
            <w:hideMark/>
          </w:tcPr>
          <w:p w14:paraId="6C681014"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 </w:t>
            </w:r>
          </w:p>
        </w:tc>
        <w:tc>
          <w:tcPr>
            <w:tcW w:w="1530" w:type="dxa"/>
            <w:tcBorders>
              <w:top w:val="nil"/>
              <w:left w:val="nil"/>
              <w:bottom w:val="single" w:sz="4" w:space="0" w:color="auto"/>
              <w:right w:val="single" w:sz="4" w:space="0" w:color="auto"/>
            </w:tcBorders>
            <w:shd w:val="clear" w:color="auto" w:fill="auto"/>
            <w:noWrap/>
            <w:vAlign w:val="bottom"/>
            <w:hideMark/>
          </w:tcPr>
          <w:p w14:paraId="6F3DC965" w14:textId="77777777" w:rsidR="00641A4C" w:rsidRPr="00641A4C" w:rsidRDefault="00641A4C" w:rsidP="00641A4C">
            <w:pPr>
              <w:rPr>
                <w:rFonts w:ascii="Calibri" w:eastAsia="Times New Roman" w:hAnsi="Calibri" w:cs="Calibri"/>
                <w:sz w:val="20"/>
                <w:szCs w:val="20"/>
              </w:rPr>
            </w:pPr>
            <w:r w:rsidRPr="00641A4C">
              <w:rPr>
                <w:rFonts w:ascii="Calibri" w:eastAsia="Times New Roman" w:hAnsi="Calibri" w:cs="Calibri"/>
                <w:sz w:val="20"/>
                <w:szCs w:val="20"/>
              </w:rPr>
              <w:t xml:space="preserve"> $            35,730 </w:t>
            </w:r>
          </w:p>
        </w:tc>
      </w:tr>
    </w:tbl>
    <w:p w14:paraId="1154BDD8" w14:textId="69DFA0FF" w:rsidR="00642909" w:rsidRDefault="00642909" w:rsidP="00D0706C">
      <w:pPr>
        <w:ind w:left="360"/>
        <w:contextualSpacing/>
        <w:rPr>
          <w:rFonts w:ascii="Calibri" w:eastAsiaTheme="minorEastAsia" w:hAnsi="Calibri" w:cs="Calibri"/>
        </w:rPr>
      </w:pPr>
    </w:p>
    <w:p w14:paraId="2C3C8B27" w14:textId="1A22F442" w:rsidR="00D0706C" w:rsidRPr="00D60408" w:rsidRDefault="0048595F" w:rsidP="00D60408">
      <w:pPr>
        <w:ind w:left="360"/>
        <w:contextualSpacing/>
        <w:rPr>
          <w:rFonts w:ascii="Calibri" w:eastAsiaTheme="minorEastAsia" w:hAnsi="Calibri" w:cs="Calibri"/>
        </w:rPr>
      </w:pPr>
      <w:r>
        <w:rPr>
          <w:rFonts w:ascii="Calibri" w:eastAsiaTheme="minorEastAsia" w:hAnsi="Calibri" w:cs="Calibri"/>
        </w:rPr>
        <w:t xml:space="preserve"> </w:t>
      </w:r>
      <w:r w:rsidR="00B45834">
        <w:rPr>
          <w:rFonts w:ascii="Calibri" w:eastAsia="Calibri" w:hAnsi="Calibri" w:cs="Calibri"/>
          <w:lang w:val="x-none" w:eastAsia="x-none"/>
        </w:rPr>
        <w:tab/>
      </w:r>
    </w:p>
    <w:p w14:paraId="0344DB3C" w14:textId="77777777" w:rsidR="00B45834" w:rsidRPr="006C6124" w:rsidRDefault="00B45834" w:rsidP="00D0706C">
      <w:pPr>
        <w:tabs>
          <w:tab w:val="left" w:pos="1080"/>
        </w:tabs>
        <w:ind w:left="360" w:hanging="360"/>
        <w:rPr>
          <w:rFonts w:ascii="Calibri" w:eastAsia="Calibri" w:hAnsi="Calibri" w:cs="Calibri"/>
          <w:lang w:val="x-none" w:eastAsia="x-none"/>
        </w:rPr>
      </w:pPr>
    </w:p>
    <w:p w14:paraId="29B31C1B" w14:textId="77777777" w:rsidR="00D0706C" w:rsidRPr="006C6124" w:rsidRDefault="00D0706C" w:rsidP="00D0706C">
      <w:pPr>
        <w:rPr>
          <w:rFonts w:ascii="Calibri" w:eastAsiaTheme="minorEastAsia" w:hAnsi="Calibri" w:cs="Calibri"/>
        </w:rPr>
      </w:pPr>
      <w:r w:rsidRPr="006C6124">
        <w:rPr>
          <w:rFonts w:ascii="Calibri" w:eastAsiaTheme="minorEastAsia" w:hAnsi="Calibri" w:cs="Calibri"/>
          <w:b/>
          <w:u w:val="single"/>
        </w:rPr>
        <w:t>(e) Supported Employment Services, Distribution of Title VI Funds, and Arrangements and Cooperative Agreements for the Provision of Supported Employment Services.</w:t>
      </w:r>
      <w:r w:rsidRPr="006C6124">
        <w:rPr>
          <w:rFonts w:ascii="Calibri" w:eastAsiaTheme="minorEastAsia" w:hAnsi="Calibri" w:cs="Calibri"/>
        </w:rPr>
        <w:t xml:space="preserve"> </w:t>
      </w:r>
    </w:p>
    <w:p w14:paraId="5749EF7B" w14:textId="77777777" w:rsidR="00D0706C" w:rsidRPr="006C6124" w:rsidRDefault="00D0706C" w:rsidP="00D0706C">
      <w:pPr>
        <w:spacing w:after="160" w:line="259" w:lineRule="auto"/>
        <w:contextualSpacing/>
        <w:rPr>
          <w:rFonts w:ascii="Calibri" w:eastAsia="Calibri" w:hAnsi="Calibri" w:cs="Calibri"/>
          <w:lang w:eastAsia="x-none"/>
        </w:rPr>
      </w:pPr>
    </w:p>
    <w:p w14:paraId="4A7519F3" w14:textId="77777777" w:rsidR="00D0706C" w:rsidRPr="006C6124" w:rsidRDefault="00D0706C">
      <w:pPr>
        <w:numPr>
          <w:ilvl w:val="0"/>
          <w:numId w:val="34"/>
        </w:numPr>
        <w:spacing w:after="160" w:line="259" w:lineRule="auto"/>
        <w:ind w:right="51"/>
        <w:contextualSpacing/>
        <w:rPr>
          <w:rFonts w:ascii="Calibri" w:eastAsia="Calibri" w:hAnsi="Calibri" w:cs="Calibri"/>
          <w:lang w:eastAsia="x-none"/>
        </w:rPr>
      </w:pPr>
      <w:r w:rsidRPr="006C6124">
        <w:rPr>
          <w:rFonts w:ascii="Calibri" w:eastAsia="Calibri" w:hAnsi="Calibri" w:cs="Calibri"/>
        </w:rPr>
        <w:t>Acceptance of title VI funds:</w:t>
      </w:r>
    </w:p>
    <w:p w14:paraId="09715812" w14:textId="77777777" w:rsidR="00D0706C" w:rsidRPr="006C6124" w:rsidRDefault="00D0706C">
      <w:pPr>
        <w:numPr>
          <w:ilvl w:val="1"/>
          <w:numId w:val="34"/>
        </w:numPr>
        <w:tabs>
          <w:tab w:val="left" w:pos="1490"/>
        </w:tabs>
        <w:spacing w:after="160" w:line="259" w:lineRule="auto"/>
        <w:ind w:right="51"/>
        <w:contextualSpacing/>
        <w:rPr>
          <w:rFonts w:ascii="Calibri" w:eastAsia="Calibri" w:hAnsi="Calibri" w:cs="Calibri"/>
          <w:lang w:eastAsia="x-none"/>
        </w:rPr>
      </w:pPr>
      <w:r w:rsidRPr="006C6124">
        <w:rPr>
          <w:rFonts w:ascii="Calibri" w:eastAsiaTheme="minorEastAsia" w:hAnsi="Calibri" w:cs="Calibri"/>
        </w:rPr>
        <w:t xml:space="preserve">[check box] </w:t>
      </w:r>
      <w:r w:rsidRPr="006C6124">
        <w:rPr>
          <w:rFonts w:ascii="Calibri" w:eastAsia="Calibri" w:hAnsi="Calibri" w:cs="Calibri"/>
        </w:rPr>
        <w:t xml:space="preserve">VR agency requests to receive title VI funds. </w:t>
      </w:r>
    </w:p>
    <w:p w14:paraId="5C4C6761" w14:textId="5963782C" w:rsidR="00D0706C" w:rsidRPr="006C6124" w:rsidRDefault="00D0706C">
      <w:pPr>
        <w:numPr>
          <w:ilvl w:val="1"/>
          <w:numId w:val="34"/>
        </w:numPr>
        <w:tabs>
          <w:tab w:val="left" w:pos="1490"/>
        </w:tabs>
        <w:spacing w:after="160" w:line="259" w:lineRule="auto"/>
        <w:ind w:right="51"/>
        <w:contextualSpacing/>
        <w:rPr>
          <w:rFonts w:ascii="Calibri" w:eastAsiaTheme="minorEastAsia" w:hAnsi="Calibri" w:cs="Calibri"/>
        </w:rPr>
      </w:pPr>
      <w:r w:rsidRPr="006C6124">
        <w:rPr>
          <w:rFonts w:ascii="Calibri" w:eastAsiaTheme="minorEastAsia" w:hAnsi="Calibri" w:cs="Calibri"/>
        </w:rPr>
        <w:t>[</w:t>
      </w:r>
      <w:r w:rsidR="00B630AE" w:rsidRPr="006C6124">
        <w:rPr>
          <w:rFonts w:ascii="Calibri" w:eastAsiaTheme="minorEastAsia" w:hAnsi="Calibri" w:cs="Calibri"/>
        </w:rPr>
        <w:t xml:space="preserve"> </w:t>
      </w:r>
      <w:r w:rsidR="00B66F11" w:rsidRPr="006C6124">
        <w:rPr>
          <w:rFonts w:ascii="Wingdings" w:eastAsiaTheme="minorEastAsia" w:hAnsi="Wingdings" w:cs="Wingdings"/>
        </w:rPr>
        <w:t>ü</w:t>
      </w:r>
      <w:r w:rsidRPr="006C6124">
        <w:rPr>
          <w:rFonts w:ascii="Calibri" w:eastAsiaTheme="minorEastAsia" w:hAnsi="Calibri" w:cs="Calibri"/>
        </w:rPr>
        <w:t xml:space="preserve">] VR agency does NOT elect to receive title VI funds and understands that supported employment services must still be provided under title I. </w:t>
      </w:r>
    </w:p>
    <w:p w14:paraId="7A26E0F5" w14:textId="77777777" w:rsidR="00D0706C" w:rsidRPr="006C6124" w:rsidRDefault="00D0706C" w:rsidP="00D0706C">
      <w:pPr>
        <w:ind w:left="1080"/>
        <w:contextualSpacing/>
        <w:rPr>
          <w:rFonts w:ascii="Calibri" w:eastAsiaTheme="minorEastAsia" w:hAnsi="Calibri" w:cs="Calibri"/>
        </w:rPr>
      </w:pPr>
    </w:p>
    <w:p w14:paraId="40910659" w14:textId="77777777" w:rsidR="00D0706C" w:rsidRPr="006C6124" w:rsidRDefault="00D0706C">
      <w:pPr>
        <w:numPr>
          <w:ilvl w:val="0"/>
          <w:numId w:val="34"/>
        </w:numPr>
        <w:spacing w:after="5" w:line="250" w:lineRule="auto"/>
        <w:ind w:right="51"/>
        <w:contextualSpacing/>
        <w:rPr>
          <w:rFonts w:ascii="Calibri" w:eastAsiaTheme="minorEastAsia" w:hAnsi="Calibri" w:cs="Calibri"/>
        </w:rPr>
      </w:pPr>
      <w:r w:rsidRPr="006C6124">
        <w:rPr>
          <w:rFonts w:ascii="Calibri" w:eastAsiaTheme="minorEastAsia" w:hAnsi="Calibri" w:cs="Calibri"/>
        </w:rPr>
        <w:t>If the VR agency has elected to receive title VI funds, Section 606(b)(3) of the Rehabilitation Act requires VR agencies to include specific goals and priorities with respect to the distribution of title VI funds received under section 603 of the Rehabilitation Act for the provision of supported employment services. Describe the use of title VI funds and how they will be used in meeting the goals and priorities of the Supported Employment program.</w:t>
      </w:r>
    </w:p>
    <w:p w14:paraId="6ECA10DC" w14:textId="58F5C1D4" w:rsidR="00C1473F" w:rsidRDefault="00C1473F" w:rsidP="00D0706C">
      <w:pPr>
        <w:ind w:left="360"/>
        <w:contextualSpacing/>
        <w:rPr>
          <w:rFonts w:ascii="Calibri" w:eastAsiaTheme="minorEastAsia" w:hAnsi="Calibri" w:cs="Calibri"/>
        </w:rPr>
      </w:pPr>
    </w:p>
    <w:p w14:paraId="6719D03C" w14:textId="41E40468" w:rsidR="00C1473F" w:rsidRPr="006C6124" w:rsidRDefault="00F71A1C" w:rsidP="00D0706C">
      <w:pPr>
        <w:ind w:left="360"/>
        <w:contextualSpacing/>
        <w:rPr>
          <w:rFonts w:ascii="Calibri" w:eastAsiaTheme="minorEastAsia" w:hAnsi="Calibri" w:cs="Calibri"/>
        </w:rPr>
      </w:pPr>
      <w:r>
        <w:rPr>
          <w:rFonts w:ascii="Calibri" w:eastAsiaTheme="minorEastAsia" w:hAnsi="Calibri" w:cs="Calibri"/>
        </w:rPr>
        <w:t xml:space="preserve">Minnesota State Services for the Blind does not elect to receive title VI funds and understands that supported employment services must still be provided under title I. </w:t>
      </w:r>
    </w:p>
    <w:p w14:paraId="138F94D5" w14:textId="77777777" w:rsidR="00D0706C" w:rsidRPr="006C6124" w:rsidRDefault="00D0706C" w:rsidP="00D0706C">
      <w:pPr>
        <w:ind w:left="360"/>
        <w:contextualSpacing/>
        <w:rPr>
          <w:rFonts w:ascii="Calibri" w:eastAsiaTheme="minorEastAsia" w:hAnsi="Calibri" w:cs="Calibri"/>
        </w:rPr>
      </w:pPr>
    </w:p>
    <w:p w14:paraId="064D6DCC" w14:textId="77777777" w:rsidR="00D0706C" w:rsidRPr="00230534" w:rsidRDefault="00D0706C">
      <w:pPr>
        <w:numPr>
          <w:ilvl w:val="0"/>
          <w:numId w:val="34"/>
        </w:numPr>
        <w:spacing w:after="5" w:line="250" w:lineRule="auto"/>
        <w:ind w:right="51"/>
        <w:contextualSpacing/>
        <w:rPr>
          <w:rFonts w:ascii="Calibri" w:eastAsiaTheme="minorEastAsia" w:hAnsi="Calibri" w:cs="Calibri"/>
        </w:rPr>
      </w:pPr>
      <w:r w:rsidRPr="00230534">
        <w:rPr>
          <w:rFonts w:ascii="Calibri" w:eastAsiaTheme="minorEastAsia" w:hAnsi="Calibri" w:cs="Calibri"/>
        </w:rPr>
        <w:t>Supported employment services may be provided with title 1 or title VI funds following placement of individuals with the most significant disabilities in employment. In accordance with section 101(a)(22) and section 606(b)(3) of the Rehabilitation Act, describe the quality, scope, and extent of supported employment services to be provided to individuals with the most significant disabilities, including youth with the most significant disabilities; and the timing of transition to extended services.</w:t>
      </w:r>
    </w:p>
    <w:p w14:paraId="6379EA59" w14:textId="59CC91DA" w:rsidR="00D0706C" w:rsidRDefault="00D0706C" w:rsidP="00D0706C">
      <w:pPr>
        <w:ind w:firstLine="360"/>
        <w:rPr>
          <w:rFonts w:ascii="Calibri" w:eastAsiaTheme="minorEastAsia" w:hAnsi="Calibri" w:cs="Calibri"/>
        </w:rPr>
      </w:pPr>
    </w:p>
    <w:p w14:paraId="63970EE2" w14:textId="77777777" w:rsidR="00F71A1C" w:rsidRPr="006C6124" w:rsidRDefault="00F71A1C" w:rsidP="00F71A1C">
      <w:pPr>
        <w:ind w:left="360"/>
        <w:contextualSpacing/>
        <w:rPr>
          <w:rFonts w:ascii="Calibri" w:eastAsiaTheme="minorEastAsia" w:hAnsi="Calibri" w:cs="Calibri"/>
        </w:rPr>
      </w:pPr>
      <w:r>
        <w:rPr>
          <w:rFonts w:ascii="Calibri" w:eastAsiaTheme="minorEastAsia" w:hAnsi="Calibri" w:cs="Calibri"/>
        </w:rPr>
        <w:t xml:space="preserve">Minnesota State Services for the Blind does not elect to receive title VI funds and understands that supported employment services must still be provided under title I. </w:t>
      </w:r>
    </w:p>
    <w:p w14:paraId="5830455A" w14:textId="77777777" w:rsidR="000C6FE0" w:rsidRDefault="000C6FE0" w:rsidP="00F71A1C">
      <w:pPr>
        <w:ind w:left="360"/>
        <w:contextualSpacing/>
        <w:rPr>
          <w:rFonts w:ascii="Calibri" w:eastAsiaTheme="minorEastAsia" w:hAnsi="Calibri" w:cs="Calibri"/>
        </w:rPr>
      </w:pPr>
    </w:p>
    <w:p w14:paraId="39CA1AA3" w14:textId="62120F1A" w:rsidR="000C6FE0" w:rsidRPr="000C6FE0" w:rsidRDefault="000C6FE0" w:rsidP="000C6FE0">
      <w:pPr>
        <w:ind w:left="360"/>
        <w:rPr>
          <w:rFonts w:eastAsia="Times New Roman"/>
        </w:rPr>
      </w:pPr>
      <w:r w:rsidRPr="000C6FE0">
        <w:rPr>
          <w:rFonts w:eastAsia="Times New Roman"/>
        </w:rPr>
        <w:t xml:space="preserve">Supported employment services promoting the integration of people with the most severe disabilities into employment in Minnesota have become increasingly available. The scope and quality of supported employment services have improved as more entities become aware of the benefits of ongoing employment supports for individuals with the most significant disabilities. The recent implementation of E1MN has provided a more seamless system between waiver and vocational rehabilitation. However, the demand for supported employment exceeds the capacity of systems in Minnesota to provide the necessary extended ongoing employment supports. In addition to the goals for Title VI Part B described in Section N, SSB will continue to engage in capacity building and technical assistance efforts with other state agencies and community service providers. For example, SSB is currently identifying solutions to increase the availability of job coaches, especially job coaches that are available to provide long-term supports. </w:t>
      </w:r>
      <w:r w:rsidR="002F2779">
        <w:rPr>
          <w:rFonts w:eastAsia="Times New Roman"/>
        </w:rPr>
        <w:t>SSB implemented</w:t>
      </w:r>
      <w:r w:rsidR="003E10BF">
        <w:rPr>
          <w:rFonts w:eastAsia="Times New Roman"/>
        </w:rPr>
        <w:t xml:space="preserve"> a </w:t>
      </w:r>
      <w:r w:rsidR="00687F63">
        <w:rPr>
          <w:rFonts w:eastAsia="Times New Roman"/>
        </w:rPr>
        <w:t>pay</w:t>
      </w:r>
      <w:r w:rsidR="003E10BF">
        <w:rPr>
          <w:rFonts w:eastAsia="Times New Roman"/>
        </w:rPr>
        <w:t>rate increase</w:t>
      </w:r>
      <w:r w:rsidR="006B78D1">
        <w:rPr>
          <w:rFonts w:eastAsia="Times New Roman"/>
        </w:rPr>
        <w:t xml:space="preserve"> for </w:t>
      </w:r>
      <w:r w:rsidRPr="000C6FE0">
        <w:rPr>
          <w:rFonts w:eastAsia="Times New Roman"/>
        </w:rPr>
        <w:t xml:space="preserve">providers. Additionally, SSB hired two in-house job coaches to help supplement the job coaching offered by our providers. </w:t>
      </w:r>
    </w:p>
    <w:p w14:paraId="196CA114" w14:textId="77777777" w:rsidR="000C6FE0" w:rsidRDefault="000C6FE0" w:rsidP="000C6FE0">
      <w:pPr>
        <w:pStyle w:val="ListParagraph"/>
      </w:pPr>
    </w:p>
    <w:p w14:paraId="3739D0DC" w14:textId="77489854" w:rsidR="000C6FE0" w:rsidRPr="006C6124" w:rsidRDefault="000C6FE0" w:rsidP="000C6FE0">
      <w:pPr>
        <w:ind w:left="360"/>
        <w:contextualSpacing/>
        <w:rPr>
          <w:rFonts w:ascii="Calibri" w:eastAsiaTheme="minorEastAsia" w:hAnsi="Calibri" w:cs="Calibri"/>
        </w:rPr>
      </w:pPr>
      <w:r>
        <w:lastRenderedPageBreak/>
        <w:t>SSB provides up to 24 months of supported employment services, beginning after job placement, to allow youth to attain job stabilization prior to the transition to extended services. SSB may provide more than 24 months of supported employment services</w:t>
      </w:r>
      <w:r w:rsidR="00076BCE">
        <w:t>,</w:t>
      </w:r>
      <w:r>
        <w:t xml:space="preserve"> if the need for additional time is identified in the IPE. SSB may act as the direct extended services provider to a youth with a most significant disability until the youth reaches age 25 or receives 4 years of extended services through the VR agency, whichever occurs first. SSB then arranges for another extended services provider to continue delivering extended services to youth. SSB does not fund or directly provide extended services to individuals who are not youth with most significant disabilities.</w:t>
      </w:r>
    </w:p>
    <w:p w14:paraId="54F2042D" w14:textId="77777777" w:rsidR="00F71A1C" w:rsidRPr="006C6124" w:rsidRDefault="00F71A1C" w:rsidP="00D0706C">
      <w:pPr>
        <w:ind w:firstLine="360"/>
        <w:rPr>
          <w:rFonts w:ascii="Calibri" w:eastAsiaTheme="minorEastAsia" w:hAnsi="Calibri" w:cs="Calibri"/>
        </w:rPr>
      </w:pPr>
    </w:p>
    <w:p w14:paraId="18C00ABD" w14:textId="31136C2B" w:rsidR="00A603AE" w:rsidRDefault="00A603AE" w:rsidP="00A603AE">
      <w:pPr>
        <w:pStyle w:val="ListParagraph"/>
        <w:ind w:left="360"/>
      </w:pPr>
      <w:r>
        <w:t xml:space="preserve">When vocational rehabilitation services are completed, a customer transitions to extended services. That transition occurs when the individual achieves the goals set out in their supported employment IPE, when they reach stability on the job, and when a service provider agrees to begin providing the needed ongoing employment supports. In most cases, the transition from vocational rehabilitation services to extended services occurs within three months. In Minnesota, the sources of ongoing support primarily include the counties, community rehabilitation programs, or other private non—profit organizations. SSB provides up to 24 months of supported employment services after job </w:t>
      </w:r>
      <w:r w:rsidR="004051C2">
        <w:t>placement unless</w:t>
      </w:r>
      <w:r>
        <w:t xml:space="preserve"> additional time is needed for the individual to achieve job stabilization and transition to extended services. SSB may directly provide extended services to youth with most significant disabilities for up to four years, or until the youth reaches age 25, whichever occurs first. SSB does not provide extended services to individuals who are not youth with disabilities.</w:t>
      </w:r>
    </w:p>
    <w:p w14:paraId="1B565413" w14:textId="77777777" w:rsidR="00A603AE" w:rsidRPr="006C6124" w:rsidRDefault="00A603AE" w:rsidP="00D0706C">
      <w:pPr>
        <w:ind w:firstLine="360"/>
        <w:rPr>
          <w:rFonts w:ascii="Calibri" w:eastAsiaTheme="minorEastAsia" w:hAnsi="Calibri" w:cs="Calibri"/>
        </w:rPr>
      </w:pPr>
    </w:p>
    <w:p w14:paraId="57203DDC" w14:textId="77777777" w:rsidR="00D0706C" w:rsidRPr="006C6124" w:rsidRDefault="00D0706C" w:rsidP="00D0706C">
      <w:pPr>
        <w:ind w:left="1008"/>
        <w:contextualSpacing/>
        <w:rPr>
          <w:rFonts w:ascii="Calibri" w:eastAsiaTheme="minorEastAsia" w:hAnsi="Calibri" w:cs="Calibri"/>
        </w:rPr>
      </w:pPr>
    </w:p>
    <w:p w14:paraId="0AF1FF7C" w14:textId="77777777" w:rsidR="00D0706C" w:rsidRPr="00AE0C45" w:rsidRDefault="00D0706C">
      <w:pPr>
        <w:numPr>
          <w:ilvl w:val="0"/>
          <w:numId w:val="34"/>
        </w:numPr>
        <w:spacing w:after="5" w:line="250" w:lineRule="auto"/>
        <w:ind w:right="51"/>
        <w:contextualSpacing/>
        <w:rPr>
          <w:rFonts w:ascii="Calibri" w:eastAsiaTheme="minorEastAsia" w:hAnsi="Calibri" w:cs="Calibri"/>
          <w:b/>
          <w:bCs/>
          <w:u w:val="single"/>
        </w:rPr>
      </w:pPr>
      <w:r w:rsidRPr="00AE0C45">
        <w:rPr>
          <w:rFonts w:ascii="Calibri" w:eastAsiaTheme="minorEastAsia" w:hAnsi="Calibri" w:cs="Calibri"/>
        </w:rPr>
        <w:t xml:space="preserve">Sections 101(a)(22) and 606(b)(4) of the Rehabilitation Act require the VR agency to describe efforts to identify and arrange, including entering into cooperative agreements, with other State agencies and other appropriate entities in order to provide supported employment services. The description must include extended services, as applicable, to individuals with the most significant disabilities, including the provision of extended services to youth with the most significant disabilities in accordance with 34 CFR 363.4(a) and 34 CFR </w:t>
      </w:r>
    </w:p>
    <w:p w14:paraId="00E2F45E" w14:textId="77777777" w:rsidR="00D0706C" w:rsidRPr="00AE0C45" w:rsidRDefault="00D0706C" w:rsidP="00D0706C">
      <w:pPr>
        <w:ind w:left="360"/>
        <w:contextualSpacing/>
        <w:rPr>
          <w:rFonts w:ascii="Calibri" w:eastAsiaTheme="minorEastAsia" w:hAnsi="Calibri" w:cs="Calibri"/>
          <w:b/>
          <w:u w:val="single"/>
        </w:rPr>
      </w:pPr>
      <w:r w:rsidRPr="00AE0C45">
        <w:rPr>
          <w:rFonts w:ascii="Calibri" w:eastAsiaTheme="minorEastAsia" w:hAnsi="Calibri" w:cs="Calibri"/>
        </w:rPr>
        <w:t>361.5(c)(19)(v).</w:t>
      </w:r>
    </w:p>
    <w:p w14:paraId="600803F9" w14:textId="77777777" w:rsidR="00956E6C" w:rsidRDefault="00956E6C" w:rsidP="00D0706C">
      <w:pPr>
        <w:ind w:left="360"/>
        <w:contextualSpacing/>
        <w:rPr>
          <w:rFonts w:ascii="Calibri" w:eastAsiaTheme="minorEastAsia" w:hAnsi="Calibri" w:cs="Calibri"/>
        </w:rPr>
      </w:pPr>
    </w:p>
    <w:p w14:paraId="75147159" w14:textId="31912945" w:rsidR="0068040B" w:rsidRDefault="0068040B" w:rsidP="008A0143">
      <w:pPr>
        <w:spacing w:after="5" w:line="250" w:lineRule="auto"/>
        <w:ind w:left="10" w:right="51" w:hanging="10"/>
      </w:pPr>
      <w:r>
        <w:t xml:space="preserve">DEED-VRS/SSB entered into a Memorandum of Understanding (MOU) with the DHS Disability Services Division (DHS-DSD) as of September 23, 2019. </w:t>
      </w:r>
      <w:r w:rsidR="004639FD">
        <w:t>The purpose of the MOU was to improve employment services</w:t>
      </w:r>
      <w:r w:rsidR="008B4C90">
        <w:t xml:space="preserve">, including the transition </w:t>
      </w:r>
      <w:r w:rsidR="00AA047B">
        <w:t>to extended services,</w:t>
      </w:r>
      <w:r w:rsidR="004639FD">
        <w:t xml:space="preserve"> for individuals with the most significant of disabilities</w:t>
      </w:r>
      <w:r w:rsidR="008B4C90">
        <w:t>.</w:t>
      </w:r>
      <w:r w:rsidR="004639FD">
        <w:t xml:space="preserve"> </w:t>
      </w:r>
      <w:r>
        <w:t xml:space="preserve">As highlighted in the MOU, DEED &amp; DHS agreed to work together to align systems so that common customers who receive home and community-based service (HCBS) disability waivers and vocational rehabilitation services (VRS) from DEED-VRS or SSB get seamless and timely supports to make informed choices and meet competitive integrated employment goals. </w:t>
      </w:r>
    </w:p>
    <w:p w14:paraId="380E57C9" w14:textId="77777777" w:rsidR="008A0143" w:rsidRDefault="008A0143" w:rsidP="008A0143">
      <w:pPr>
        <w:spacing w:after="5" w:line="250" w:lineRule="auto"/>
        <w:ind w:left="10" w:right="51" w:hanging="10"/>
      </w:pPr>
    </w:p>
    <w:p w14:paraId="5E4F1286" w14:textId="3F9E35CC" w:rsidR="008A0143" w:rsidRDefault="008A0143" w:rsidP="008A0143">
      <w:pPr>
        <w:spacing w:after="5" w:line="250" w:lineRule="auto"/>
        <w:ind w:left="10" w:right="51" w:hanging="10"/>
      </w:pPr>
      <w:r>
        <w:t>From these efforts, a model was developed called E1MN (Employment First Minnesota). E1MN works to deliver a seamless and timely employment support system for youth and adults with disabilities so they understand their options and get what they need to achieve and maintain competitive integrated employment.</w:t>
      </w:r>
      <w:r w:rsidR="001530E1">
        <w:t xml:space="preserve"> </w:t>
      </w:r>
      <w:r>
        <w:t>E1MN is led by the State of Minnesota Departments of Education (Career and Technical Education and Special Education), Employment and Economic Development (Vocational Rehabilitation Services and State Services for the Blind) and Human Services (Disability Services Division). E1MN coordinates their work through steering committees for adults (out of school) and youth (in school).</w:t>
      </w:r>
    </w:p>
    <w:p w14:paraId="5BFD0085" w14:textId="77777777" w:rsidR="00890D6D" w:rsidRDefault="00890D6D" w:rsidP="001530E1">
      <w:pPr>
        <w:spacing w:after="5" w:line="250" w:lineRule="auto"/>
        <w:ind w:left="10" w:right="51" w:hanging="10"/>
      </w:pPr>
    </w:p>
    <w:p w14:paraId="5844A1B3" w14:textId="2B1CD40C" w:rsidR="00890D6D" w:rsidRDefault="00890D6D" w:rsidP="001530E1">
      <w:pPr>
        <w:spacing w:after="5" w:line="250" w:lineRule="auto"/>
        <w:ind w:left="10" w:right="51" w:hanging="10"/>
      </w:pPr>
      <w:r>
        <w:t xml:space="preserve">A framework was developed </w:t>
      </w:r>
      <w:r w:rsidR="00DC217F">
        <w:t>as part of E1MN that de</w:t>
      </w:r>
      <w:r w:rsidR="002F6934">
        <w:t>s</w:t>
      </w:r>
      <w:r w:rsidR="00DC217F">
        <w:t>cribes</w:t>
      </w:r>
      <w:r>
        <w:t xml:space="preserve"> the continuum of employment services called Engage-Plan-Find-Keep. This framework</w:t>
      </w:r>
      <w:r w:rsidRPr="00890D6D">
        <w:t xml:space="preserve"> shows how waiver employment services and supports through Vocational Rehabilitation Services/State Services for the Blind support people at different stages of their path to employment. </w:t>
      </w:r>
      <w:hyperlink r:id="rId14" w:history="1">
        <w:r w:rsidR="001F7CFE" w:rsidRPr="00C90C4A">
          <w:rPr>
            <w:rStyle w:val="Hyperlink"/>
          </w:rPr>
          <w:t>https://disabilityhubmn.org/media/sqsbrsac/e1mn-efpk-framework.pdf</w:t>
        </w:r>
      </w:hyperlink>
      <w:r w:rsidR="001F7CFE">
        <w:t xml:space="preserve">. </w:t>
      </w:r>
    </w:p>
    <w:p w14:paraId="79344C47" w14:textId="77777777" w:rsidR="004639FD" w:rsidRDefault="004639FD" w:rsidP="008A0143">
      <w:pPr>
        <w:spacing w:after="5" w:line="250" w:lineRule="auto"/>
        <w:ind w:left="10" w:right="51" w:hanging="10"/>
      </w:pPr>
    </w:p>
    <w:p w14:paraId="6EB3F08E" w14:textId="52CC64B1" w:rsidR="004639FD" w:rsidRDefault="004639FD" w:rsidP="008A0143">
      <w:pPr>
        <w:spacing w:after="5" w:line="250" w:lineRule="auto"/>
        <w:ind w:left="10" w:right="51" w:hanging="10"/>
      </w:pPr>
      <w:r>
        <w:t xml:space="preserve">The </w:t>
      </w:r>
      <w:r w:rsidR="001F7CFE">
        <w:t xml:space="preserve">overall </w:t>
      </w:r>
      <w:r>
        <w:t>strategies of E1MN include:</w:t>
      </w:r>
    </w:p>
    <w:p w14:paraId="07DEE413" w14:textId="5C84CFF6" w:rsidR="004639FD" w:rsidRDefault="004639FD">
      <w:pPr>
        <w:pStyle w:val="ListParagraph"/>
        <w:numPr>
          <w:ilvl w:val="0"/>
          <w:numId w:val="55"/>
        </w:numPr>
        <w:spacing w:after="5" w:line="250" w:lineRule="auto"/>
        <w:ind w:right="51"/>
      </w:pPr>
      <w:r>
        <w:t>Align</w:t>
      </w:r>
      <w:r w:rsidR="0061146A">
        <w:t>ing</w:t>
      </w:r>
      <w:r>
        <w:t xml:space="preserve"> our systems — policies, programs, funding, providers</w:t>
      </w:r>
      <w:r w:rsidR="00635FA4">
        <w:t>,</w:t>
      </w:r>
      <w:r>
        <w:t xml:space="preserve"> and roles — to better coordinate services and Employment First approaches.</w:t>
      </w:r>
    </w:p>
    <w:p w14:paraId="15A7C8E1" w14:textId="7AF60FAC" w:rsidR="004639FD" w:rsidRDefault="004639FD">
      <w:pPr>
        <w:pStyle w:val="ListParagraph"/>
        <w:numPr>
          <w:ilvl w:val="0"/>
          <w:numId w:val="55"/>
        </w:numPr>
        <w:spacing w:after="5" w:line="250" w:lineRule="auto"/>
        <w:ind w:right="51"/>
      </w:pPr>
      <w:r>
        <w:t>Connect</w:t>
      </w:r>
      <w:r w:rsidR="0061146A">
        <w:t>ing</w:t>
      </w:r>
      <w:r>
        <w:t xml:space="preserve"> partners to solve problems, remove barriers</w:t>
      </w:r>
      <w:r w:rsidR="00635FA4">
        <w:t>,</w:t>
      </w:r>
      <w:r>
        <w:t xml:space="preserve"> and transform services.</w:t>
      </w:r>
    </w:p>
    <w:p w14:paraId="799C0F98" w14:textId="756FAC65" w:rsidR="004639FD" w:rsidRDefault="0061146A">
      <w:pPr>
        <w:pStyle w:val="ListParagraph"/>
        <w:numPr>
          <w:ilvl w:val="0"/>
          <w:numId w:val="55"/>
        </w:numPr>
        <w:spacing w:after="5" w:line="250" w:lineRule="auto"/>
        <w:ind w:right="51"/>
      </w:pPr>
      <w:r>
        <w:t xml:space="preserve">Using </w:t>
      </w:r>
      <w:r w:rsidR="004639FD">
        <w:t xml:space="preserve">data and information to drive our work and seek continuous improvement. </w:t>
      </w:r>
    </w:p>
    <w:p w14:paraId="27A630FD" w14:textId="177FE1A8" w:rsidR="004639FD" w:rsidRDefault="004639FD">
      <w:pPr>
        <w:pStyle w:val="ListParagraph"/>
        <w:numPr>
          <w:ilvl w:val="0"/>
          <w:numId w:val="55"/>
        </w:numPr>
        <w:spacing w:after="5" w:line="250" w:lineRule="auto"/>
        <w:ind w:right="51"/>
      </w:pPr>
      <w:r>
        <w:lastRenderedPageBreak/>
        <w:t>Build</w:t>
      </w:r>
      <w:r w:rsidR="0061146A">
        <w:t>ing</w:t>
      </w:r>
      <w:r>
        <w:t xml:space="preserve"> on existing strengths and great ideas while developing new resources to share.  </w:t>
      </w:r>
    </w:p>
    <w:p w14:paraId="23425A6E" w14:textId="1B1514D7" w:rsidR="004639FD" w:rsidRDefault="0061146A">
      <w:pPr>
        <w:pStyle w:val="ListParagraph"/>
        <w:numPr>
          <w:ilvl w:val="0"/>
          <w:numId w:val="55"/>
        </w:numPr>
        <w:spacing w:after="5" w:line="250" w:lineRule="auto"/>
        <w:ind w:right="51"/>
      </w:pPr>
      <w:r>
        <w:t xml:space="preserve">Engaging </w:t>
      </w:r>
      <w:r w:rsidR="004639FD">
        <w:t xml:space="preserve">with our shared customers and stakeholders to </w:t>
      </w:r>
      <w:r w:rsidR="00161C75">
        <w:t xml:space="preserve">communicate </w:t>
      </w:r>
      <w:r w:rsidR="004639FD">
        <w:t>our work and incorporate their insights.</w:t>
      </w:r>
    </w:p>
    <w:p w14:paraId="2004E045" w14:textId="03ED1D24" w:rsidR="004639FD" w:rsidRDefault="004639FD">
      <w:pPr>
        <w:pStyle w:val="ListParagraph"/>
        <w:numPr>
          <w:ilvl w:val="0"/>
          <w:numId w:val="55"/>
        </w:numPr>
        <w:spacing w:after="5" w:line="250" w:lineRule="auto"/>
        <w:ind w:right="51"/>
      </w:pPr>
      <w:r>
        <w:t>Work</w:t>
      </w:r>
      <w:r w:rsidR="0061146A">
        <w:t>ing</w:t>
      </w:r>
      <w:r>
        <w:t xml:space="preserve"> with local and culturally specific partners to improve and assure access and equity.</w:t>
      </w:r>
    </w:p>
    <w:p w14:paraId="3C7D992B" w14:textId="12CD319B" w:rsidR="004639FD" w:rsidRDefault="004639FD">
      <w:pPr>
        <w:pStyle w:val="ListParagraph"/>
        <w:numPr>
          <w:ilvl w:val="0"/>
          <w:numId w:val="55"/>
        </w:numPr>
        <w:spacing w:after="5" w:line="250" w:lineRule="auto"/>
        <w:ind w:right="51"/>
      </w:pPr>
      <w:r>
        <w:t>Build</w:t>
      </w:r>
      <w:r w:rsidR="0061146A">
        <w:t>ing</w:t>
      </w:r>
      <w:r>
        <w:t xml:space="preserve"> a unified voice through shared communications, </w:t>
      </w:r>
      <w:r w:rsidR="001B67A1">
        <w:t>training,</w:t>
      </w:r>
      <w:r>
        <w:t xml:space="preserve"> and support to foster consistent practices and messages for all stakeholders.</w:t>
      </w:r>
    </w:p>
    <w:p w14:paraId="2B22FF94" w14:textId="71ED05B7" w:rsidR="004639FD" w:rsidRDefault="004639FD">
      <w:pPr>
        <w:pStyle w:val="ListParagraph"/>
        <w:numPr>
          <w:ilvl w:val="0"/>
          <w:numId w:val="55"/>
        </w:numPr>
        <w:spacing w:after="5" w:line="250" w:lineRule="auto"/>
        <w:ind w:right="51"/>
      </w:pPr>
      <w:r>
        <w:t>Support</w:t>
      </w:r>
      <w:r w:rsidR="0061146A">
        <w:t>ing</w:t>
      </w:r>
      <w:r>
        <w:t xml:space="preserve"> families in setting a positive trajectory for employment and independence for their child.</w:t>
      </w:r>
    </w:p>
    <w:p w14:paraId="65C2963F" w14:textId="64F4D54F" w:rsidR="004639FD" w:rsidRDefault="0061146A">
      <w:pPr>
        <w:pStyle w:val="ListParagraph"/>
        <w:numPr>
          <w:ilvl w:val="0"/>
          <w:numId w:val="55"/>
        </w:numPr>
        <w:spacing w:after="5" w:line="250" w:lineRule="auto"/>
        <w:ind w:right="51"/>
      </w:pPr>
      <w:r>
        <w:t xml:space="preserve">Incorporating </w:t>
      </w:r>
      <w:r w:rsidR="004639FD">
        <w:t>person-centered tools and practices to help create a common language and experience for our shared customers.</w:t>
      </w:r>
    </w:p>
    <w:p w14:paraId="204E75BE" w14:textId="77777777" w:rsidR="0068040B" w:rsidRDefault="0068040B" w:rsidP="0068040B">
      <w:pPr>
        <w:spacing w:after="5" w:line="250" w:lineRule="auto"/>
        <w:ind w:left="10" w:right="51" w:hanging="10"/>
      </w:pPr>
    </w:p>
    <w:p w14:paraId="4C1AE14F" w14:textId="43517C6C" w:rsidR="00383192" w:rsidRDefault="00383192" w:rsidP="00D0706C">
      <w:pPr>
        <w:spacing w:after="5" w:line="250" w:lineRule="auto"/>
        <w:ind w:left="10" w:right="51" w:hanging="10"/>
      </w:pPr>
      <w:r>
        <w:t xml:space="preserve">Minnesota State Services for the Blind has several professional/technical contracts with local providers that offer </w:t>
      </w:r>
      <w:r w:rsidR="0068040B">
        <w:t xml:space="preserve">supported employment services, including customized employment and job coaching. There is a goal as part of </w:t>
      </w:r>
      <w:r w:rsidR="001B2CB1">
        <w:t xml:space="preserve">E1MN to </w:t>
      </w:r>
      <w:r w:rsidR="0082333A">
        <w:t xml:space="preserve">obtain </w:t>
      </w:r>
      <w:r w:rsidR="001B2CB1">
        <w:t xml:space="preserve">as many providers as possible to have both a professional/technical contract with DEED-SSB/VRS and a 245(d) license through DHS. That way, the same provider can work with the individual through their entire continuum of employment services (job search, job placement, short-term supports, and long-term extended services). Unfortunately, many providers find the 245(d) license process to be lengthy, confusing, and expensive. In order for our goal to be successful, DHS has been looking at ways to streamline the process in the future. </w:t>
      </w:r>
    </w:p>
    <w:p w14:paraId="3B80F9BA" w14:textId="77777777" w:rsidR="0068040B" w:rsidRDefault="0068040B" w:rsidP="00D0706C">
      <w:pPr>
        <w:spacing w:after="5" w:line="250" w:lineRule="auto"/>
        <w:ind w:left="10" w:right="51" w:hanging="10"/>
      </w:pPr>
    </w:p>
    <w:p w14:paraId="512EDEE4" w14:textId="4D0A2DA4" w:rsidR="00D054B2" w:rsidRDefault="009C4BFD" w:rsidP="00D0706C">
      <w:pPr>
        <w:spacing w:after="5" w:line="250" w:lineRule="auto"/>
        <w:ind w:left="10" w:right="51" w:hanging="10"/>
      </w:pPr>
      <w:r>
        <w:t>In addition</w:t>
      </w:r>
      <w:r w:rsidR="001B2CB1">
        <w:t xml:space="preserve"> to what has been described above</w:t>
      </w:r>
      <w:r>
        <w:t xml:space="preserve">, Minnesota VRS has a unique state-only funding appropriation to providing ongoing employment supports to individuals with disabilities called the Extended Employment program. SSB </w:t>
      </w:r>
      <w:r w:rsidR="005A096D">
        <w:t xml:space="preserve">eligible </w:t>
      </w:r>
      <w:r>
        <w:t xml:space="preserve">customers </w:t>
      </w:r>
      <w:r w:rsidR="005A096D">
        <w:t xml:space="preserve">have been able to take advantage of this available funding if they do </w:t>
      </w:r>
      <w:r w:rsidR="00323494">
        <w:t xml:space="preserve">not otherwise </w:t>
      </w:r>
      <w:r w:rsidR="005A096D">
        <w:t>qualify for waiver-based</w:t>
      </w:r>
      <w:r w:rsidR="00323494">
        <w:t xml:space="preserve">, long-term employment services (e.g. job coaching). </w:t>
      </w:r>
    </w:p>
    <w:p w14:paraId="088322C5" w14:textId="77777777" w:rsidR="00D0706C" w:rsidRPr="006C6124" w:rsidRDefault="00D0706C" w:rsidP="00D0706C">
      <w:pPr>
        <w:spacing w:after="5" w:line="250" w:lineRule="auto"/>
        <w:ind w:left="10" w:right="51" w:hanging="10"/>
        <w:rPr>
          <w:rFonts w:ascii="Calibri" w:eastAsia="Cambria" w:hAnsi="Calibri" w:cs="Calibri"/>
          <w:color w:val="000000"/>
        </w:rPr>
      </w:pPr>
    </w:p>
    <w:p w14:paraId="0F3B88A6" w14:textId="77777777" w:rsidR="00D0706C" w:rsidRPr="006C6124" w:rsidRDefault="00D0706C" w:rsidP="00D0706C">
      <w:pPr>
        <w:tabs>
          <w:tab w:val="left" w:pos="1490"/>
        </w:tabs>
        <w:spacing w:after="5" w:line="250" w:lineRule="auto"/>
        <w:ind w:left="10" w:right="51" w:hanging="10"/>
        <w:contextualSpacing/>
        <w:rPr>
          <w:rFonts w:ascii="Calibri" w:eastAsia="Times New Roman" w:hAnsi="Calibri" w:cs="Calibri"/>
          <w:color w:val="000000"/>
        </w:rPr>
      </w:pPr>
      <w:r w:rsidRPr="006C6124">
        <w:rPr>
          <w:rFonts w:ascii="Calibri" w:eastAsia="Cambria" w:hAnsi="Calibri" w:cs="Calibri"/>
          <w:b/>
          <w:bCs/>
          <w:color w:val="000000"/>
          <w:u w:val="single"/>
        </w:rPr>
        <w:t>(f) Annual Estimates.</w:t>
      </w:r>
      <w:r w:rsidRPr="006C6124">
        <w:rPr>
          <w:rFonts w:ascii="Calibri" w:eastAsia="Cambria" w:hAnsi="Calibri" w:cs="Calibri"/>
          <w:color w:val="000000"/>
        </w:rPr>
        <w:t xml:space="preserve"> </w:t>
      </w:r>
      <w:r w:rsidRPr="006C6124">
        <w:rPr>
          <w:rFonts w:ascii="Calibri" w:eastAsia="Times New Roman" w:hAnsi="Calibri" w:cs="Calibri"/>
          <w:color w:val="000000"/>
        </w:rPr>
        <w:t xml:space="preserve">Sections 101(a)(15) and 101(a)(23) of the Rehabilitation Act require all VR agencies to annually conduct a full assessment of their resources and ability to serve all eligible individuals before the start of the Federal fiscal year. In accordance with 34 CFR § 361.29(b), annual estimates must include the following projections: </w:t>
      </w:r>
    </w:p>
    <w:p w14:paraId="79F602BF" w14:textId="77777777" w:rsidR="00D0706C" w:rsidRPr="006C6124" w:rsidRDefault="00D0706C" w:rsidP="00D0706C">
      <w:pPr>
        <w:tabs>
          <w:tab w:val="left" w:pos="810"/>
          <w:tab w:val="left" w:pos="1440"/>
        </w:tabs>
        <w:spacing w:after="5" w:line="250" w:lineRule="auto"/>
        <w:ind w:left="360" w:right="51" w:hanging="10"/>
        <w:contextualSpacing/>
        <w:rPr>
          <w:rFonts w:ascii="Calibri" w:eastAsia="Cambria" w:hAnsi="Calibri" w:cs="Calibri"/>
          <w:color w:val="000000"/>
        </w:rPr>
      </w:pPr>
    </w:p>
    <w:p w14:paraId="6DD44D4C" w14:textId="77777777" w:rsidR="00D0706C" w:rsidRPr="006C6124" w:rsidRDefault="00D0706C">
      <w:pPr>
        <w:numPr>
          <w:ilvl w:val="0"/>
          <w:numId w:val="28"/>
        </w:numPr>
        <w:tabs>
          <w:tab w:val="left" w:pos="1490"/>
        </w:tabs>
        <w:spacing w:after="5" w:line="250" w:lineRule="auto"/>
        <w:ind w:right="51"/>
        <w:contextualSpacing/>
        <w:rPr>
          <w:rFonts w:ascii="Calibri" w:eastAsia="Cambria" w:hAnsi="Calibri" w:cs="Calibri"/>
          <w:color w:val="000000"/>
        </w:rPr>
      </w:pPr>
      <w:r w:rsidRPr="006C6124">
        <w:rPr>
          <w:rFonts w:ascii="Calibri" w:eastAsia="Cambria" w:hAnsi="Calibri" w:cs="Calibri"/>
          <w:color w:val="000000"/>
        </w:rPr>
        <w:t xml:space="preserve">Estimates for next Federal fiscal year—  </w:t>
      </w:r>
    </w:p>
    <w:p w14:paraId="04A65CD1" w14:textId="77777777" w:rsidR="00D0706C" w:rsidRPr="006C6124" w:rsidRDefault="00D0706C" w:rsidP="00D0706C">
      <w:pPr>
        <w:tabs>
          <w:tab w:val="left" w:pos="1490"/>
        </w:tabs>
        <w:spacing w:after="5" w:line="250" w:lineRule="auto"/>
        <w:ind w:left="360" w:right="51" w:hanging="10"/>
        <w:contextualSpacing/>
        <w:rPr>
          <w:rFonts w:ascii="Calibri" w:eastAsia="Cambria" w:hAnsi="Calibri" w:cs="Calibri"/>
          <w:color w:val="000000"/>
        </w:rPr>
      </w:pPr>
    </w:p>
    <w:p w14:paraId="7D43694E" w14:textId="77777777" w:rsidR="00D0706C" w:rsidRPr="006C6124" w:rsidRDefault="00D0706C">
      <w:pPr>
        <w:numPr>
          <w:ilvl w:val="0"/>
          <w:numId w:val="27"/>
        </w:numPr>
        <w:tabs>
          <w:tab w:val="left" w:pos="1490"/>
        </w:tabs>
        <w:spacing w:after="5" w:line="250" w:lineRule="auto"/>
        <w:ind w:right="51"/>
        <w:contextualSpacing/>
        <w:rPr>
          <w:rFonts w:ascii="Calibri" w:eastAsia="Cambria" w:hAnsi="Calibri" w:cs="Calibri"/>
          <w:color w:val="000000"/>
        </w:rPr>
      </w:pPr>
      <w:r w:rsidRPr="006C6124">
        <w:rPr>
          <w:rFonts w:ascii="Calibri" w:eastAsia="Cambria" w:hAnsi="Calibri" w:cs="Calibri"/>
          <w:color w:val="000000"/>
        </w:rPr>
        <w:t xml:space="preserve"> VR Program; and</w:t>
      </w:r>
    </w:p>
    <w:p w14:paraId="1E2BDC0F" w14:textId="77777777" w:rsidR="00D0706C" w:rsidRPr="006C6124" w:rsidRDefault="00D0706C" w:rsidP="00D0706C">
      <w:pPr>
        <w:tabs>
          <w:tab w:val="left" w:pos="1490"/>
        </w:tabs>
        <w:spacing w:after="5" w:line="250" w:lineRule="auto"/>
        <w:ind w:left="360" w:right="51" w:hanging="10"/>
        <w:contextualSpacing/>
        <w:rPr>
          <w:rFonts w:ascii="Calibri" w:eastAsia="Cambria" w:hAnsi="Calibri" w:cs="Calibri"/>
          <w:color w:val="000000"/>
        </w:rPr>
      </w:pPr>
    </w:p>
    <w:tbl>
      <w:tblPr>
        <w:tblStyle w:val="TableGrid"/>
        <w:tblW w:w="0" w:type="auto"/>
        <w:tblInd w:w="360" w:type="dxa"/>
        <w:tblLook w:val="04A0" w:firstRow="1" w:lastRow="0" w:firstColumn="1" w:lastColumn="0" w:noHBand="0" w:noVBand="1"/>
      </w:tblPr>
      <w:tblGrid>
        <w:gridCol w:w="1435"/>
        <w:gridCol w:w="1440"/>
        <w:gridCol w:w="2486"/>
        <w:gridCol w:w="1768"/>
        <w:gridCol w:w="2132"/>
      </w:tblGrid>
      <w:tr w:rsidR="00D0706C" w:rsidRPr="006C6124" w14:paraId="0926D5FA" w14:textId="77777777" w:rsidTr="00C256BB">
        <w:tc>
          <w:tcPr>
            <w:tcW w:w="1435" w:type="dxa"/>
            <w:vAlign w:val="bottom"/>
          </w:tcPr>
          <w:p w14:paraId="13A5F5B5"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bookmarkStart w:id="10" w:name="_Hlk94599837"/>
            <w:r w:rsidRPr="006C6124">
              <w:rPr>
                <w:rFonts w:ascii="Calibri" w:eastAsia="Cambria" w:hAnsi="Calibri" w:cs="Calibri"/>
                <w:color w:val="000000"/>
              </w:rPr>
              <w:t>Priority Category (if applicable)</w:t>
            </w:r>
          </w:p>
        </w:tc>
        <w:tc>
          <w:tcPr>
            <w:tcW w:w="1440" w:type="dxa"/>
            <w:vAlign w:val="bottom"/>
          </w:tcPr>
          <w:p w14:paraId="60CFD474"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No. of Individuals Eligible for Services</w:t>
            </w:r>
          </w:p>
        </w:tc>
        <w:tc>
          <w:tcPr>
            <w:tcW w:w="2486" w:type="dxa"/>
            <w:vAlign w:val="bottom"/>
          </w:tcPr>
          <w:p w14:paraId="20164CB8"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No. of Eligible Individuals Expected to Receive Services under VR Program</w:t>
            </w:r>
          </w:p>
        </w:tc>
        <w:tc>
          <w:tcPr>
            <w:tcW w:w="1768" w:type="dxa"/>
            <w:vAlign w:val="bottom"/>
          </w:tcPr>
          <w:p w14:paraId="1289FBE0"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Costs of Services using Title I Funds</w:t>
            </w:r>
          </w:p>
        </w:tc>
        <w:tc>
          <w:tcPr>
            <w:tcW w:w="2132" w:type="dxa"/>
            <w:vAlign w:val="bottom"/>
          </w:tcPr>
          <w:p w14:paraId="5290695C"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No. of Eligible Individuals Not Receiving Services (if applicable)</w:t>
            </w:r>
          </w:p>
        </w:tc>
      </w:tr>
      <w:tr w:rsidR="00D0706C" w:rsidRPr="006C6124" w14:paraId="7DF7630D" w14:textId="77777777" w:rsidTr="00C256BB">
        <w:tc>
          <w:tcPr>
            <w:tcW w:w="1435" w:type="dxa"/>
            <w:vAlign w:val="center"/>
          </w:tcPr>
          <w:p w14:paraId="31EB8C59" w14:textId="79A7CCA6" w:rsidR="00D0706C" w:rsidRPr="006C6124" w:rsidRDefault="00767D34"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N/A</w:t>
            </w:r>
          </w:p>
        </w:tc>
        <w:tc>
          <w:tcPr>
            <w:tcW w:w="1440" w:type="dxa"/>
            <w:vAlign w:val="center"/>
          </w:tcPr>
          <w:p w14:paraId="3473F279" w14:textId="79A708CA" w:rsidR="00D0706C" w:rsidRPr="006C6124" w:rsidRDefault="000B7B37"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250</w:t>
            </w:r>
          </w:p>
        </w:tc>
        <w:tc>
          <w:tcPr>
            <w:tcW w:w="2486" w:type="dxa"/>
            <w:vAlign w:val="center"/>
          </w:tcPr>
          <w:p w14:paraId="5F29D203" w14:textId="3DC42D23" w:rsidR="00D0706C" w:rsidRPr="006C6124" w:rsidRDefault="003566D6"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875</w:t>
            </w:r>
          </w:p>
        </w:tc>
        <w:tc>
          <w:tcPr>
            <w:tcW w:w="1768" w:type="dxa"/>
            <w:vAlign w:val="center"/>
          </w:tcPr>
          <w:p w14:paraId="626AB6EC" w14:textId="1B8493C8" w:rsidR="00D0706C" w:rsidRPr="006C6124" w:rsidRDefault="00C256BB"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$3,4000,000.00</w:t>
            </w:r>
          </w:p>
        </w:tc>
        <w:tc>
          <w:tcPr>
            <w:tcW w:w="2132" w:type="dxa"/>
            <w:vAlign w:val="center"/>
          </w:tcPr>
          <w:p w14:paraId="32F862E9" w14:textId="315F84FB" w:rsidR="00D0706C" w:rsidRPr="006C6124" w:rsidRDefault="00C256BB"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0</w:t>
            </w:r>
          </w:p>
        </w:tc>
      </w:tr>
      <w:bookmarkEnd w:id="10"/>
    </w:tbl>
    <w:p w14:paraId="5979C99F" w14:textId="77777777" w:rsidR="00D0706C" w:rsidRPr="006C6124" w:rsidRDefault="00D0706C" w:rsidP="00D0706C">
      <w:pPr>
        <w:tabs>
          <w:tab w:val="left" w:pos="1490"/>
        </w:tabs>
        <w:spacing w:after="5" w:line="250" w:lineRule="auto"/>
        <w:ind w:left="360" w:right="51" w:hanging="10"/>
        <w:contextualSpacing/>
        <w:rPr>
          <w:rFonts w:ascii="Calibri" w:eastAsia="Cambria" w:hAnsi="Calibri" w:cs="Calibri"/>
          <w:color w:val="000000"/>
        </w:rPr>
      </w:pPr>
    </w:p>
    <w:p w14:paraId="3038B899" w14:textId="77777777" w:rsidR="00D0706C" w:rsidRPr="006C6124" w:rsidRDefault="00D0706C">
      <w:pPr>
        <w:numPr>
          <w:ilvl w:val="0"/>
          <w:numId w:val="27"/>
        </w:numPr>
        <w:tabs>
          <w:tab w:val="left" w:pos="1490"/>
        </w:tabs>
        <w:spacing w:after="5" w:line="250" w:lineRule="auto"/>
        <w:ind w:right="51"/>
        <w:contextualSpacing/>
        <w:rPr>
          <w:rFonts w:ascii="Calibri" w:eastAsia="Cambria" w:hAnsi="Calibri" w:cs="Calibri"/>
          <w:color w:val="000000"/>
        </w:rPr>
      </w:pPr>
      <w:r w:rsidRPr="006C6124">
        <w:rPr>
          <w:rFonts w:ascii="Calibri" w:eastAsia="Cambria" w:hAnsi="Calibri" w:cs="Calibri"/>
          <w:color w:val="000000"/>
        </w:rPr>
        <w:t xml:space="preserve">  Supported Employment Program.</w:t>
      </w:r>
    </w:p>
    <w:p w14:paraId="0B0E8546" w14:textId="77777777" w:rsidR="00D0706C" w:rsidRPr="006C6124" w:rsidRDefault="00D0706C" w:rsidP="00D0706C">
      <w:pPr>
        <w:tabs>
          <w:tab w:val="left" w:pos="1490"/>
        </w:tabs>
        <w:spacing w:after="5" w:line="250" w:lineRule="auto"/>
        <w:ind w:left="720" w:right="51" w:hanging="10"/>
        <w:contextualSpacing/>
        <w:rPr>
          <w:rFonts w:ascii="Calibri" w:eastAsia="Cambria" w:hAnsi="Calibri" w:cs="Calibri"/>
          <w:color w:val="000000"/>
        </w:rPr>
      </w:pPr>
    </w:p>
    <w:tbl>
      <w:tblPr>
        <w:tblStyle w:val="TableGrid"/>
        <w:tblW w:w="0" w:type="auto"/>
        <w:tblInd w:w="360" w:type="dxa"/>
        <w:tblLook w:val="04A0" w:firstRow="1" w:lastRow="0" w:firstColumn="1" w:lastColumn="0" w:noHBand="0" w:noVBand="1"/>
      </w:tblPr>
      <w:tblGrid>
        <w:gridCol w:w="1456"/>
        <w:gridCol w:w="1419"/>
        <w:gridCol w:w="2574"/>
        <w:gridCol w:w="1638"/>
        <w:gridCol w:w="2088"/>
      </w:tblGrid>
      <w:tr w:rsidR="00D0706C" w:rsidRPr="006C6124" w14:paraId="39A023A1" w14:textId="77777777">
        <w:tc>
          <w:tcPr>
            <w:tcW w:w="1456" w:type="dxa"/>
            <w:vAlign w:val="bottom"/>
          </w:tcPr>
          <w:p w14:paraId="471B910A"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 xml:space="preserve">Priority Category (if applicable) </w:t>
            </w:r>
          </w:p>
        </w:tc>
        <w:tc>
          <w:tcPr>
            <w:tcW w:w="1419" w:type="dxa"/>
            <w:vAlign w:val="bottom"/>
          </w:tcPr>
          <w:p w14:paraId="079818D5"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No. of Individuals Eligible for Services</w:t>
            </w:r>
          </w:p>
        </w:tc>
        <w:tc>
          <w:tcPr>
            <w:tcW w:w="2574" w:type="dxa"/>
            <w:vAlign w:val="bottom"/>
          </w:tcPr>
          <w:p w14:paraId="70FD61F1"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No. of Eligible Individuals Expected to Receive Services under Supported Employment Program</w:t>
            </w:r>
          </w:p>
        </w:tc>
        <w:tc>
          <w:tcPr>
            <w:tcW w:w="1638" w:type="dxa"/>
            <w:vAlign w:val="bottom"/>
          </w:tcPr>
          <w:p w14:paraId="43A34E17"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Costs of Services using Title I and Title VI Funds</w:t>
            </w:r>
          </w:p>
        </w:tc>
        <w:tc>
          <w:tcPr>
            <w:tcW w:w="2088" w:type="dxa"/>
            <w:vAlign w:val="bottom"/>
          </w:tcPr>
          <w:p w14:paraId="6AF7A5CA" w14:textId="77777777" w:rsidR="00D0706C" w:rsidRPr="006C6124" w:rsidRDefault="00D0706C" w:rsidP="00D0706C">
            <w:pPr>
              <w:tabs>
                <w:tab w:val="left" w:pos="1490"/>
              </w:tabs>
              <w:spacing w:after="5" w:line="250" w:lineRule="auto"/>
              <w:ind w:left="10" w:right="51" w:hanging="10"/>
              <w:contextualSpacing/>
              <w:rPr>
                <w:rFonts w:ascii="Calibri" w:eastAsia="Cambria" w:hAnsi="Calibri" w:cs="Calibri"/>
                <w:color w:val="000000"/>
              </w:rPr>
            </w:pPr>
            <w:r w:rsidRPr="006C6124">
              <w:rPr>
                <w:rFonts w:ascii="Calibri" w:eastAsia="Cambria" w:hAnsi="Calibri" w:cs="Calibri"/>
                <w:color w:val="000000"/>
              </w:rPr>
              <w:t>No. of Eligible Individuals Not Receiving Services (if applicable)</w:t>
            </w:r>
          </w:p>
        </w:tc>
      </w:tr>
      <w:tr w:rsidR="00D0706C" w:rsidRPr="006C6124" w14:paraId="4A0ADBA1" w14:textId="77777777" w:rsidTr="00920979">
        <w:tc>
          <w:tcPr>
            <w:tcW w:w="1456" w:type="dxa"/>
            <w:vAlign w:val="center"/>
          </w:tcPr>
          <w:p w14:paraId="4F83AB08" w14:textId="694534B8" w:rsidR="00D0706C" w:rsidRPr="006C6124" w:rsidRDefault="00920979"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N/A</w:t>
            </w:r>
          </w:p>
        </w:tc>
        <w:tc>
          <w:tcPr>
            <w:tcW w:w="1419" w:type="dxa"/>
            <w:vAlign w:val="center"/>
          </w:tcPr>
          <w:p w14:paraId="0945400E" w14:textId="3D5DBAF2" w:rsidR="00D0706C" w:rsidRPr="006C6124" w:rsidRDefault="00C256BB"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25</w:t>
            </w:r>
          </w:p>
        </w:tc>
        <w:tc>
          <w:tcPr>
            <w:tcW w:w="2574" w:type="dxa"/>
            <w:vAlign w:val="center"/>
          </w:tcPr>
          <w:p w14:paraId="40B70D03" w14:textId="5D1A034F" w:rsidR="00D0706C" w:rsidRPr="006C6124" w:rsidRDefault="00C256BB"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60</w:t>
            </w:r>
          </w:p>
        </w:tc>
        <w:tc>
          <w:tcPr>
            <w:tcW w:w="1638" w:type="dxa"/>
            <w:vAlign w:val="center"/>
          </w:tcPr>
          <w:p w14:paraId="497B0135" w14:textId="3B6CD9C2" w:rsidR="00D0706C" w:rsidRPr="006C6124" w:rsidRDefault="005A74F7" w:rsidP="00920979">
            <w:pPr>
              <w:tabs>
                <w:tab w:val="left" w:pos="1490"/>
              </w:tabs>
              <w:spacing w:after="5" w:line="250" w:lineRule="auto"/>
              <w:ind w:left="10" w:right="51" w:hanging="10"/>
              <w:contextualSpacing/>
              <w:jc w:val="center"/>
              <w:rPr>
                <w:rFonts w:ascii="Calibri" w:eastAsia="Cambria" w:hAnsi="Calibri" w:cs="Calibri"/>
                <w:color w:val="000000"/>
              </w:rPr>
            </w:pPr>
            <w:r w:rsidRPr="006C6124">
              <w:rPr>
                <w:rFonts w:ascii="Calibri" w:eastAsia="Cambria" w:hAnsi="Calibri" w:cs="Calibri"/>
                <w:color w:val="000000"/>
              </w:rPr>
              <w:t>$230,000.00</w:t>
            </w:r>
          </w:p>
        </w:tc>
        <w:tc>
          <w:tcPr>
            <w:tcW w:w="2088" w:type="dxa"/>
            <w:vAlign w:val="center"/>
          </w:tcPr>
          <w:p w14:paraId="0EEA3549" w14:textId="1C35670D" w:rsidR="00920979" w:rsidRPr="006C6124" w:rsidRDefault="005A74F7" w:rsidP="00920979">
            <w:pPr>
              <w:tabs>
                <w:tab w:val="left" w:pos="1490"/>
              </w:tabs>
              <w:spacing w:after="5" w:line="250" w:lineRule="auto"/>
              <w:ind w:right="51"/>
              <w:contextualSpacing/>
              <w:jc w:val="center"/>
              <w:rPr>
                <w:rFonts w:ascii="Calibri" w:eastAsia="Cambria" w:hAnsi="Calibri" w:cs="Calibri"/>
                <w:color w:val="000000"/>
              </w:rPr>
            </w:pPr>
            <w:r w:rsidRPr="006C6124">
              <w:rPr>
                <w:rFonts w:ascii="Calibri" w:eastAsia="Cambria" w:hAnsi="Calibri" w:cs="Calibri"/>
                <w:color w:val="000000"/>
              </w:rPr>
              <w:t>0</w:t>
            </w:r>
          </w:p>
        </w:tc>
      </w:tr>
    </w:tbl>
    <w:p w14:paraId="1D988C7A" w14:textId="6F9EFA58" w:rsidR="00D0706C" w:rsidRPr="006C6124" w:rsidRDefault="00D0706C" w:rsidP="00D0706C">
      <w:pPr>
        <w:spacing w:after="5" w:line="250" w:lineRule="auto"/>
        <w:ind w:left="10" w:right="51" w:hanging="10"/>
        <w:rPr>
          <w:rFonts w:ascii="Calibri" w:eastAsia="Cambria" w:hAnsi="Calibri" w:cs="Calibri"/>
          <w:color w:val="000000"/>
        </w:rPr>
      </w:pPr>
      <w:r w:rsidRPr="006C6124">
        <w:rPr>
          <w:rFonts w:ascii="Calibri" w:eastAsia="Cambria" w:hAnsi="Calibri" w:cs="Calibri"/>
          <w:color w:val="000000"/>
        </w:rPr>
        <w:tab/>
      </w:r>
    </w:p>
    <w:p w14:paraId="40F6EDF1" w14:textId="62C0799A" w:rsidR="009B26FF" w:rsidRPr="006C6124" w:rsidRDefault="009B26FF" w:rsidP="00D0706C">
      <w:pPr>
        <w:spacing w:after="5" w:line="250" w:lineRule="auto"/>
        <w:ind w:left="10" w:right="51" w:hanging="10"/>
        <w:rPr>
          <w:rFonts w:ascii="Calibri" w:eastAsia="Cambria" w:hAnsi="Calibri" w:cs="Calibri"/>
          <w:color w:val="000000"/>
        </w:rPr>
      </w:pPr>
    </w:p>
    <w:p w14:paraId="0D05F332" w14:textId="77777777" w:rsidR="009B26FF" w:rsidRPr="006C6124" w:rsidRDefault="009B26FF" w:rsidP="00D0706C">
      <w:pPr>
        <w:spacing w:after="5" w:line="250" w:lineRule="auto"/>
        <w:ind w:left="10" w:right="51" w:hanging="10"/>
        <w:rPr>
          <w:rFonts w:ascii="Calibri" w:eastAsia="Cambria" w:hAnsi="Calibri" w:cs="Calibri"/>
          <w:color w:val="000000"/>
        </w:rPr>
      </w:pPr>
    </w:p>
    <w:p w14:paraId="0051E7C3" w14:textId="77777777" w:rsidR="00D0706C" w:rsidRPr="006C6124" w:rsidRDefault="00D0706C" w:rsidP="00D0706C">
      <w:pPr>
        <w:tabs>
          <w:tab w:val="left" w:pos="1490"/>
        </w:tabs>
        <w:spacing w:before="240" w:after="160" w:line="259" w:lineRule="auto"/>
        <w:ind w:left="10" w:right="51" w:hanging="10"/>
        <w:contextualSpacing/>
        <w:rPr>
          <w:rFonts w:ascii="Calibri" w:eastAsia="Cambria" w:hAnsi="Calibri" w:cs="Calibri"/>
          <w:b/>
          <w:bCs/>
          <w:color w:val="000000"/>
        </w:rPr>
      </w:pPr>
      <w:r w:rsidRPr="006C6124">
        <w:rPr>
          <w:rFonts w:ascii="Calibri" w:eastAsia="Cambria" w:hAnsi="Calibri" w:cs="Calibri"/>
          <w:b/>
          <w:bCs/>
          <w:color w:val="000000"/>
          <w:u w:val="single"/>
        </w:rPr>
        <w:t>(g) Order of Selection.</w:t>
      </w:r>
      <w:r w:rsidRPr="006C6124">
        <w:rPr>
          <w:rFonts w:ascii="Calibri" w:eastAsia="Cambria" w:hAnsi="Calibri" w:cs="Calibri"/>
          <w:b/>
          <w:bCs/>
          <w:color w:val="000000"/>
        </w:rPr>
        <w:t xml:space="preserve"> </w:t>
      </w:r>
    </w:p>
    <w:p w14:paraId="6134C33C" w14:textId="27A1B179" w:rsidR="00D0706C" w:rsidRPr="006C6124" w:rsidRDefault="00D0706C" w:rsidP="00D0706C">
      <w:pPr>
        <w:tabs>
          <w:tab w:val="left" w:pos="1490"/>
        </w:tabs>
        <w:spacing w:before="240" w:after="160" w:line="259" w:lineRule="auto"/>
        <w:ind w:left="10" w:right="51" w:hanging="10"/>
        <w:contextualSpacing/>
        <w:rPr>
          <w:rFonts w:ascii="Calibri" w:eastAsia="Cambria" w:hAnsi="Calibri" w:cs="Calibri"/>
          <w:color w:val="000000"/>
        </w:rPr>
      </w:pPr>
      <w:r w:rsidRPr="006C6124">
        <w:rPr>
          <w:rFonts w:ascii="Calibri" w:eastAsia="Cambria" w:hAnsi="Calibri" w:cs="Calibri"/>
          <w:color w:val="000000"/>
        </w:rPr>
        <w:t>[</w:t>
      </w:r>
      <w:r w:rsidR="00A86C8F" w:rsidRPr="006C6124">
        <w:rPr>
          <w:rFonts w:ascii="Wingdings" w:eastAsia="Wingdings" w:hAnsi="Wingdings" w:cs="Wingdings"/>
          <w:color w:val="000000"/>
        </w:rPr>
        <w:t>ü</w:t>
      </w:r>
      <w:r w:rsidRPr="006C6124">
        <w:rPr>
          <w:rFonts w:ascii="Calibri" w:eastAsia="Cambria" w:hAnsi="Calibri" w:cs="Calibri"/>
          <w:color w:val="000000"/>
        </w:rPr>
        <w:t xml:space="preserve">] The VR agency is </w:t>
      </w:r>
      <w:r w:rsidRPr="006C6124">
        <w:rPr>
          <w:rFonts w:ascii="Calibri" w:eastAsia="Cambria" w:hAnsi="Calibri" w:cs="Calibri"/>
          <w:b/>
          <w:bCs/>
          <w:color w:val="000000"/>
        </w:rPr>
        <w:t xml:space="preserve">not </w:t>
      </w:r>
      <w:r w:rsidRPr="006C6124">
        <w:rPr>
          <w:rFonts w:ascii="Calibri" w:eastAsia="Cambria" w:hAnsi="Calibri" w:cs="Calibri"/>
          <w:color w:val="000000"/>
        </w:rPr>
        <w:t xml:space="preserve">implementing an order of selection and all eligible individuals will be served.  </w:t>
      </w:r>
    </w:p>
    <w:p w14:paraId="01223060" w14:textId="17A675F2" w:rsidR="00BD456D" w:rsidRPr="006C6124" w:rsidRDefault="00BD456D" w:rsidP="00D0706C">
      <w:pPr>
        <w:tabs>
          <w:tab w:val="left" w:pos="1490"/>
        </w:tabs>
        <w:spacing w:before="240" w:after="160" w:line="259" w:lineRule="auto"/>
        <w:ind w:left="10" w:right="51" w:hanging="10"/>
        <w:contextualSpacing/>
        <w:rPr>
          <w:rFonts w:ascii="Calibri" w:eastAsia="Cambria" w:hAnsi="Calibri" w:cs="Calibri"/>
          <w:color w:val="000000"/>
        </w:rPr>
      </w:pPr>
    </w:p>
    <w:p w14:paraId="680778B0" w14:textId="17CDFB09" w:rsidR="00BD456D" w:rsidRPr="006C6124" w:rsidRDefault="00BD456D" w:rsidP="00D0706C">
      <w:pPr>
        <w:tabs>
          <w:tab w:val="left" w:pos="1490"/>
        </w:tabs>
        <w:spacing w:before="240" w:after="160" w:line="259" w:lineRule="auto"/>
        <w:ind w:left="10" w:right="51" w:hanging="10"/>
        <w:contextualSpacing/>
        <w:rPr>
          <w:rFonts w:ascii="Calibri" w:eastAsia="Cambria" w:hAnsi="Calibri" w:cs="Calibri"/>
          <w:color w:val="000000"/>
        </w:rPr>
      </w:pPr>
      <w:r w:rsidRPr="006C6124">
        <w:rPr>
          <w:rFonts w:ascii="Calibri" w:eastAsia="Cambria" w:hAnsi="Calibri" w:cs="Calibri"/>
          <w:color w:val="000000"/>
        </w:rPr>
        <w:t xml:space="preserve">Minnesota State Services for the Blind </w:t>
      </w:r>
      <w:r w:rsidR="0003132A" w:rsidRPr="006C6124">
        <w:rPr>
          <w:rFonts w:ascii="Calibri" w:eastAsia="Cambria" w:hAnsi="Calibri" w:cs="Calibri"/>
          <w:color w:val="000000"/>
        </w:rPr>
        <w:t xml:space="preserve">will not be implementing an order of selection. </w:t>
      </w:r>
    </w:p>
    <w:p w14:paraId="4032B2C2" w14:textId="77777777" w:rsidR="00D0706C" w:rsidRPr="006C6124" w:rsidRDefault="00D0706C" w:rsidP="00D0706C">
      <w:pPr>
        <w:tabs>
          <w:tab w:val="left" w:pos="1490"/>
        </w:tabs>
        <w:spacing w:before="240" w:after="160" w:line="259" w:lineRule="auto"/>
        <w:ind w:left="10" w:right="51" w:hanging="10"/>
        <w:contextualSpacing/>
        <w:rPr>
          <w:rFonts w:ascii="Calibri" w:eastAsia="Cambria" w:hAnsi="Calibri" w:cs="Calibri"/>
          <w:color w:val="000000"/>
        </w:rPr>
      </w:pPr>
    </w:p>
    <w:p w14:paraId="74009C28" w14:textId="77777777" w:rsidR="00D0706C" w:rsidRPr="006C6124" w:rsidRDefault="00D0706C" w:rsidP="00D0706C">
      <w:pPr>
        <w:tabs>
          <w:tab w:val="left" w:pos="1490"/>
        </w:tabs>
        <w:spacing w:before="240" w:after="160" w:line="259" w:lineRule="auto"/>
        <w:ind w:left="10" w:right="51" w:hanging="10"/>
        <w:contextualSpacing/>
        <w:rPr>
          <w:rFonts w:ascii="Calibri" w:eastAsia="Cambria" w:hAnsi="Calibri" w:cs="Calibri"/>
          <w:color w:val="000000"/>
        </w:rPr>
      </w:pPr>
      <w:r w:rsidRPr="006C6124">
        <w:rPr>
          <w:rFonts w:ascii="Calibri" w:eastAsia="Cambria" w:hAnsi="Calibri" w:cs="Calibri"/>
          <w:color w:val="000000"/>
        </w:rPr>
        <w:t>[check box] The VR agency is implementing an order of selection with one or more categories closed.</w:t>
      </w:r>
    </w:p>
    <w:p w14:paraId="5673A902" w14:textId="77777777" w:rsidR="00D0706C" w:rsidRPr="006C6124" w:rsidRDefault="00D0706C" w:rsidP="00D0706C">
      <w:pPr>
        <w:tabs>
          <w:tab w:val="left" w:pos="1490"/>
        </w:tabs>
        <w:spacing w:after="160" w:line="259" w:lineRule="auto"/>
        <w:ind w:left="180" w:right="51" w:hanging="180"/>
        <w:contextualSpacing/>
        <w:rPr>
          <w:rFonts w:ascii="Calibri" w:eastAsia="Cambria" w:hAnsi="Calibri" w:cs="Calibri"/>
          <w:color w:val="000000"/>
        </w:rPr>
      </w:pPr>
      <w:r w:rsidRPr="006C6124">
        <w:rPr>
          <w:rFonts w:ascii="Calibri" w:eastAsia="Cambria" w:hAnsi="Calibri" w:cs="Calibri"/>
          <w:color w:val="000000"/>
        </w:rPr>
        <w:t xml:space="preserve">* VR agencies may maintain an order of selection policy and priority of eligible individuals without implementing or continuing to implement an order of selection. </w:t>
      </w:r>
    </w:p>
    <w:p w14:paraId="2E27A2F2" w14:textId="77777777" w:rsidR="00D0706C" w:rsidRPr="006C6124" w:rsidRDefault="00D0706C" w:rsidP="00D0706C">
      <w:pPr>
        <w:tabs>
          <w:tab w:val="left" w:pos="1490"/>
        </w:tabs>
        <w:spacing w:after="160" w:line="259" w:lineRule="auto"/>
        <w:ind w:left="180" w:right="51" w:hanging="180"/>
        <w:contextualSpacing/>
        <w:rPr>
          <w:rFonts w:ascii="Calibri" w:eastAsia="Cambria" w:hAnsi="Calibri" w:cs="Calibri"/>
          <w:color w:val="000000"/>
        </w:rPr>
      </w:pPr>
    </w:p>
    <w:p w14:paraId="41A2E300" w14:textId="77777777" w:rsidR="00D0706C" w:rsidRPr="006C6124" w:rsidRDefault="00D0706C" w:rsidP="00D0706C">
      <w:pPr>
        <w:tabs>
          <w:tab w:val="left" w:pos="1490"/>
        </w:tabs>
        <w:spacing w:before="240" w:after="160" w:line="259" w:lineRule="auto"/>
        <w:ind w:left="10" w:right="51" w:hanging="10"/>
        <w:contextualSpacing/>
        <w:rPr>
          <w:rFonts w:ascii="Calibri" w:eastAsia="Cambria" w:hAnsi="Calibri" w:cs="Calibri"/>
          <w:color w:val="000000"/>
        </w:rPr>
      </w:pPr>
      <w:r w:rsidRPr="006C6124">
        <w:rPr>
          <w:rFonts w:ascii="Calibri" w:eastAsia="Cambria" w:hAnsi="Calibri" w:cs="Calibri"/>
          <w:color w:val="000000"/>
        </w:rPr>
        <w:t>Pursuant to section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services.</w:t>
      </w:r>
    </w:p>
    <w:p w14:paraId="20EB3C9C" w14:textId="77777777" w:rsidR="00D0706C" w:rsidRPr="006C6124" w:rsidRDefault="00D0706C">
      <w:pPr>
        <w:numPr>
          <w:ilvl w:val="0"/>
          <w:numId w:val="19"/>
        </w:numPr>
        <w:tabs>
          <w:tab w:val="left" w:pos="1490"/>
        </w:tabs>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For VR agencies that have defined priority categories describe—</w:t>
      </w:r>
    </w:p>
    <w:p w14:paraId="7B80FCB1" w14:textId="77777777" w:rsidR="00D0706C" w:rsidRPr="006C6124" w:rsidRDefault="00D0706C" w:rsidP="00D0706C">
      <w:pPr>
        <w:tabs>
          <w:tab w:val="left" w:pos="1490"/>
        </w:tabs>
        <w:spacing w:after="160" w:line="259" w:lineRule="auto"/>
        <w:ind w:left="360" w:right="51" w:hanging="10"/>
        <w:contextualSpacing/>
        <w:rPr>
          <w:rFonts w:ascii="Calibri" w:eastAsia="Cambria" w:hAnsi="Calibri" w:cs="Calibri"/>
          <w:color w:val="000000"/>
        </w:rPr>
      </w:pPr>
      <w:r w:rsidRPr="006C6124">
        <w:rPr>
          <w:rFonts w:ascii="Calibri" w:eastAsia="Cambria" w:hAnsi="Calibri" w:cs="Calibri"/>
          <w:color w:val="000000"/>
        </w:rPr>
        <w:t xml:space="preserve"> </w:t>
      </w:r>
    </w:p>
    <w:p w14:paraId="1E6B1235" w14:textId="77777777" w:rsidR="00D0706C" w:rsidRPr="006C6124" w:rsidRDefault="00D0706C">
      <w:pPr>
        <w:numPr>
          <w:ilvl w:val="0"/>
          <w:numId w:val="20"/>
        </w:numPr>
        <w:spacing w:after="5" w:line="250" w:lineRule="auto"/>
        <w:ind w:right="51"/>
        <w:contextualSpacing/>
        <w:rPr>
          <w:rFonts w:ascii="Calibri" w:eastAsia="Cambria" w:hAnsi="Calibri" w:cs="Calibri"/>
          <w:color w:val="000000"/>
        </w:rPr>
      </w:pPr>
      <w:r w:rsidRPr="006C6124">
        <w:rPr>
          <w:rFonts w:ascii="Calibri" w:eastAsia="Cambria" w:hAnsi="Calibri" w:cs="Calibri"/>
          <w:color w:val="000000"/>
        </w:rPr>
        <w:t>The justification for the order;</w:t>
      </w:r>
    </w:p>
    <w:p w14:paraId="74FD764C" w14:textId="77777777" w:rsidR="00226C63" w:rsidRPr="006C6124" w:rsidRDefault="00226C63" w:rsidP="00226C63">
      <w:pPr>
        <w:spacing w:after="120" w:line="250" w:lineRule="auto"/>
        <w:ind w:left="1008" w:right="58" w:hanging="14"/>
        <w:contextualSpacing/>
        <w:rPr>
          <w:rFonts w:ascii="Calibri" w:eastAsia="Cambria" w:hAnsi="Calibri" w:cs="Calibri"/>
          <w:color w:val="000000"/>
        </w:rPr>
      </w:pPr>
    </w:p>
    <w:p w14:paraId="12954F2B" w14:textId="5338C698" w:rsidR="00AE1B27" w:rsidRPr="006C6124" w:rsidRDefault="00AE1B27" w:rsidP="00AE1B27">
      <w:pPr>
        <w:tabs>
          <w:tab w:val="left" w:pos="990"/>
        </w:tabs>
        <w:spacing w:before="240" w:after="160" w:line="259" w:lineRule="auto"/>
        <w:ind w:left="10" w:right="51" w:hanging="10"/>
        <w:contextualSpacing/>
        <w:rPr>
          <w:rFonts w:ascii="Calibri" w:eastAsia="Cambria" w:hAnsi="Calibri" w:cs="Calibri"/>
          <w:color w:val="000000"/>
        </w:rPr>
      </w:pPr>
      <w:r w:rsidRPr="006C6124">
        <w:rPr>
          <w:rFonts w:ascii="Calibri" w:eastAsia="Cambria" w:hAnsi="Calibri" w:cs="Calibri"/>
          <w:color w:val="000000"/>
        </w:rPr>
        <w:tab/>
      </w:r>
      <w:r w:rsidRPr="006C6124">
        <w:rPr>
          <w:rFonts w:ascii="Calibri" w:eastAsia="Cambria" w:hAnsi="Calibri" w:cs="Calibri"/>
          <w:color w:val="000000"/>
        </w:rPr>
        <w:tab/>
        <w:t xml:space="preserve">Minnesota State Services for the Blind will not be implementing an order of selection. </w:t>
      </w:r>
    </w:p>
    <w:p w14:paraId="5EB78977" w14:textId="77777777" w:rsidR="00D0706C" w:rsidRPr="006C6124" w:rsidRDefault="00D0706C" w:rsidP="00D0706C">
      <w:pPr>
        <w:spacing w:after="5" w:line="250" w:lineRule="auto"/>
        <w:ind w:left="1008" w:right="51" w:hanging="10"/>
        <w:contextualSpacing/>
        <w:rPr>
          <w:rFonts w:ascii="Calibri" w:eastAsia="Cambria" w:hAnsi="Calibri" w:cs="Calibri"/>
          <w:color w:val="000000"/>
        </w:rPr>
      </w:pPr>
    </w:p>
    <w:p w14:paraId="42218933" w14:textId="77777777" w:rsidR="00D0706C" w:rsidRPr="006C6124" w:rsidRDefault="00D0706C">
      <w:pPr>
        <w:numPr>
          <w:ilvl w:val="0"/>
          <w:numId w:val="20"/>
        </w:numPr>
        <w:tabs>
          <w:tab w:val="left" w:pos="1440"/>
        </w:tabs>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The order (priority categories) to be followed in selecting eligible individuals to be provided VR services ensuring that individuals with the most significant disabilities are selected for services before all other individuals with disabilities; and</w:t>
      </w:r>
    </w:p>
    <w:p w14:paraId="26098FF6" w14:textId="77777777" w:rsidR="009E35DC" w:rsidRPr="006C6124" w:rsidRDefault="009E35DC" w:rsidP="00D0706C">
      <w:pPr>
        <w:tabs>
          <w:tab w:val="left" w:pos="1440"/>
        </w:tabs>
        <w:spacing w:after="160" w:line="259" w:lineRule="auto"/>
        <w:ind w:left="1008" w:right="51" w:hanging="10"/>
        <w:contextualSpacing/>
        <w:rPr>
          <w:rFonts w:ascii="Calibri" w:eastAsia="Cambria" w:hAnsi="Calibri" w:cs="Calibri"/>
          <w:color w:val="000000"/>
        </w:rPr>
      </w:pPr>
    </w:p>
    <w:p w14:paraId="1DA1C66C" w14:textId="2C2AFEDE" w:rsidR="00AE1B27" w:rsidRPr="006C6124" w:rsidRDefault="00AE1B27" w:rsidP="00AE1B27">
      <w:pPr>
        <w:tabs>
          <w:tab w:val="left" w:pos="990"/>
        </w:tabs>
        <w:spacing w:before="240" w:after="160" w:line="259" w:lineRule="auto"/>
        <w:ind w:left="10" w:right="51" w:hanging="10"/>
        <w:contextualSpacing/>
        <w:rPr>
          <w:rFonts w:ascii="Calibri" w:eastAsia="Cambria" w:hAnsi="Calibri" w:cs="Calibri"/>
          <w:color w:val="000000"/>
        </w:rPr>
      </w:pPr>
      <w:r w:rsidRPr="006C6124">
        <w:rPr>
          <w:rFonts w:ascii="Calibri" w:eastAsia="Cambria" w:hAnsi="Calibri" w:cs="Calibri"/>
          <w:color w:val="000000"/>
        </w:rPr>
        <w:tab/>
      </w:r>
      <w:r w:rsidRPr="006C6124">
        <w:rPr>
          <w:rFonts w:ascii="Calibri" w:eastAsia="Cambria" w:hAnsi="Calibri" w:cs="Calibri"/>
          <w:color w:val="000000"/>
        </w:rPr>
        <w:tab/>
        <w:t xml:space="preserve">Minnesota State Services for the Blind will not be implementing an order of selection. </w:t>
      </w:r>
    </w:p>
    <w:p w14:paraId="61C89E2C" w14:textId="77777777" w:rsidR="00D0706C" w:rsidRPr="006C6124" w:rsidRDefault="00D0706C" w:rsidP="00D0706C">
      <w:pPr>
        <w:tabs>
          <w:tab w:val="left" w:pos="1440"/>
        </w:tabs>
        <w:spacing w:after="160" w:line="259" w:lineRule="auto"/>
        <w:ind w:left="1008" w:right="51" w:hanging="10"/>
        <w:contextualSpacing/>
        <w:rPr>
          <w:rFonts w:ascii="Calibri" w:eastAsia="Cambria" w:hAnsi="Calibri" w:cs="Calibri"/>
          <w:color w:val="000000"/>
        </w:rPr>
      </w:pPr>
    </w:p>
    <w:p w14:paraId="6868E921" w14:textId="77777777" w:rsidR="00D0706C" w:rsidRPr="006C6124" w:rsidRDefault="00D0706C">
      <w:pPr>
        <w:numPr>
          <w:ilvl w:val="0"/>
          <w:numId w:val="20"/>
        </w:numPr>
        <w:tabs>
          <w:tab w:val="left" w:pos="1440"/>
        </w:tabs>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 xml:space="preserve">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served.  </w:t>
      </w:r>
    </w:p>
    <w:p w14:paraId="75497FA3" w14:textId="77777777" w:rsidR="009E35DC" w:rsidRPr="006C6124" w:rsidRDefault="009E35DC" w:rsidP="00D0706C">
      <w:pPr>
        <w:tabs>
          <w:tab w:val="left" w:pos="1440"/>
        </w:tabs>
        <w:spacing w:line="259" w:lineRule="auto"/>
        <w:ind w:left="1008" w:right="51" w:hanging="10"/>
        <w:contextualSpacing/>
        <w:rPr>
          <w:rFonts w:ascii="Calibri" w:eastAsia="Cambria" w:hAnsi="Calibri" w:cs="Calibri"/>
          <w:color w:val="000000"/>
        </w:rPr>
      </w:pPr>
    </w:p>
    <w:p w14:paraId="63317439" w14:textId="77777777" w:rsidR="00AE1B27" w:rsidRPr="006C6124" w:rsidRDefault="00AE1B27" w:rsidP="00AE1B27">
      <w:pPr>
        <w:tabs>
          <w:tab w:val="left" w:pos="1490"/>
        </w:tabs>
        <w:spacing w:before="240" w:after="160" w:line="259" w:lineRule="auto"/>
        <w:ind w:left="990" w:right="51" w:hanging="10"/>
        <w:contextualSpacing/>
        <w:rPr>
          <w:rFonts w:ascii="Calibri" w:eastAsia="Cambria" w:hAnsi="Calibri" w:cs="Calibri"/>
          <w:color w:val="000000"/>
        </w:rPr>
      </w:pPr>
      <w:r w:rsidRPr="006C6124">
        <w:rPr>
          <w:rFonts w:ascii="Calibri" w:eastAsia="Cambria" w:hAnsi="Calibri" w:cs="Calibri"/>
          <w:color w:val="000000"/>
        </w:rPr>
        <w:tab/>
        <w:t xml:space="preserve">Minnesota State Services for the Blind will not be implementing an order of selection. </w:t>
      </w:r>
    </w:p>
    <w:p w14:paraId="5E735549" w14:textId="7B448851" w:rsidR="00D0706C" w:rsidRPr="006C6124" w:rsidRDefault="00D0706C" w:rsidP="00D0706C">
      <w:pPr>
        <w:tabs>
          <w:tab w:val="left" w:pos="1260"/>
          <w:tab w:val="left" w:pos="1530"/>
          <w:tab w:val="left" w:pos="1800"/>
        </w:tabs>
        <w:spacing w:line="250" w:lineRule="auto"/>
        <w:ind w:left="10" w:right="51" w:hanging="10"/>
        <w:contextualSpacing/>
        <w:rPr>
          <w:rFonts w:ascii="Calibri" w:eastAsia="Cambria" w:hAnsi="Calibri" w:cs="Calibri"/>
          <w:color w:val="000000"/>
        </w:rPr>
      </w:pPr>
    </w:p>
    <w:p w14:paraId="099BA990" w14:textId="77777777" w:rsidR="00D0706C" w:rsidRPr="006C6124" w:rsidRDefault="00D0706C">
      <w:pPr>
        <w:numPr>
          <w:ilvl w:val="0"/>
          <w:numId w:val="21"/>
        </w:numPr>
        <w:tabs>
          <w:tab w:val="left" w:pos="1490"/>
        </w:tabs>
        <w:spacing w:after="160" w:line="259" w:lineRule="auto"/>
        <w:ind w:right="51"/>
        <w:contextualSpacing/>
        <w:rPr>
          <w:rFonts w:ascii="Calibri" w:eastAsia="Calibri" w:hAnsi="Calibri" w:cs="Calibri"/>
          <w:b/>
          <w:bCs/>
          <w:color w:val="000000"/>
          <w:u w:val="single"/>
          <w:lang w:eastAsia="x-none"/>
        </w:rPr>
      </w:pPr>
      <w:r w:rsidRPr="006C6124">
        <w:rPr>
          <w:rFonts w:ascii="Calibri" w:eastAsia="Cambria" w:hAnsi="Calibri" w:cs="Calibri"/>
          <w:color w:val="000000"/>
        </w:rPr>
        <w:t xml:space="preserve">Has the VR agency elected to serve eligible individuals outside of the order of selection who require specific services or equipment to maintain employment? </w:t>
      </w:r>
    </w:p>
    <w:p w14:paraId="33C4BD33" w14:textId="77777777" w:rsidR="00D0706C" w:rsidRPr="006C6124" w:rsidRDefault="00D0706C" w:rsidP="00D0706C">
      <w:pPr>
        <w:tabs>
          <w:tab w:val="left" w:pos="1490"/>
        </w:tabs>
        <w:spacing w:after="160" w:line="259" w:lineRule="auto"/>
        <w:ind w:left="360" w:right="51" w:hanging="10"/>
        <w:contextualSpacing/>
        <w:rPr>
          <w:rFonts w:ascii="Calibri" w:eastAsia="Cambria" w:hAnsi="Calibri" w:cs="Calibri"/>
          <w:color w:val="000000"/>
        </w:rPr>
      </w:pPr>
      <w:r w:rsidRPr="006C6124">
        <w:rPr>
          <w:rFonts w:ascii="Calibri" w:eastAsia="Cambria" w:hAnsi="Calibri" w:cs="Calibri"/>
          <w:color w:val="000000"/>
        </w:rPr>
        <w:t>[check box] Yes</w:t>
      </w:r>
    </w:p>
    <w:p w14:paraId="1D9B16BC" w14:textId="5852CD01" w:rsidR="00D0706C" w:rsidRPr="006C6124" w:rsidRDefault="00D0706C" w:rsidP="00D0706C">
      <w:pPr>
        <w:tabs>
          <w:tab w:val="left" w:pos="1490"/>
        </w:tabs>
        <w:spacing w:after="160" w:line="259" w:lineRule="auto"/>
        <w:ind w:left="360" w:right="51" w:hanging="10"/>
        <w:contextualSpacing/>
        <w:rPr>
          <w:rFonts w:ascii="Calibri" w:eastAsia="Cambria" w:hAnsi="Calibri" w:cs="Calibri"/>
          <w:color w:val="000000"/>
        </w:rPr>
      </w:pPr>
      <w:r w:rsidRPr="006C6124">
        <w:rPr>
          <w:rFonts w:ascii="Calibri" w:eastAsia="Cambria" w:hAnsi="Calibri" w:cs="Calibri"/>
          <w:color w:val="000000"/>
        </w:rPr>
        <w:t>[</w:t>
      </w:r>
      <w:r w:rsidR="004A0F28">
        <w:rPr>
          <w:rFonts w:ascii="Calibri" w:eastAsia="Cambria" w:hAnsi="Calibri" w:cs="Calibri"/>
          <w:color w:val="000000"/>
        </w:rPr>
        <w:t>x</w:t>
      </w:r>
      <w:r w:rsidRPr="006C6124">
        <w:rPr>
          <w:rFonts w:ascii="Calibri" w:eastAsia="Cambria" w:hAnsi="Calibri" w:cs="Calibri"/>
          <w:color w:val="000000"/>
        </w:rPr>
        <w:t>] No</w:t>
      </w:r>
    </w:p>
    <w:p w14:paraId="1EF6BAA8" w14:textId="77777777" w:rsidR="009E35DC" w:rsidRPr="006C6124" w:rsidRDefault="009E35DC" w:rsidP="00D0706C">
      <w:pPr>
        <w:tabs>
          <w:tab w:val="left" w:pos="1490"/>
        </w:tabs>
        <w:spacing w:after="160" w:line="259" w:lineRule="auto"/>
        <w:ind w:left="360" w:right="51" w:hanging="10"/>
        <w:contextualSpacing/>
        <w:rPr>
          <w:rFonts w:ascii="Calibri" w:eastAsia="Cambria" w:hAnsi="Calibri" w:cs="Calibri"/>
          <w:color w:val="000000"/>
        </w:rPr>
      </w:pPr>
    </w:p>
    <w:p w14:paraId="4D72C85F" w14:textId="2F881250" w:rsidR="00A47236" w:rsidRPr="006C6124" w:rsidRDefault="00A47236" w:rsidP="00A47236">
      <w:pPr>
        <w:tabs>
          <w:tab w:val="left" w:pos="1490"/>
        </w:tabs>
        <w:spacing w:before="240" w:after="160" w:line="259" w:lineRule="auto"/>
        <w:ind w:left="360" w:right="51" w:hanging="10"/>
        <w:contextualSpacing/>
        <w:rPr>
          <w:rFonts w:ascii="Calibri" w:eastAsia="Cambria" w:hAnsi="Calibri" w:cs="Calibri"/>
          <w:color w:val="000000"/>
        </w:rPr>
      </w:pPr>
      <w:r w:rsidRPr="006C6124">
        <w:rPr>
          <w:rFonts w:ascii="Calibri" w:eastAsia="Cambria" w:hAnsi="Calibri" w:cs="Calibri"/>
          <w:color w:val="000000"/>
        </w:rPr>
        <w:t xml:space="preserve">Minnesota State Services for the Blind will not be implementing an order of selection. </w:t>
      </w:r>
    </w:p>
    <w:p w14:paraId="61C3EF87" w14:textId="77777777" w:rsidR="00D0706C" w:rsidRPr="006C6124" w:rsidRDefault="00D0706C" w:rsidP="00D0706C">
      <w:pPr>
        <w:tabs>
          <w:tab w:val="left" w:pos="1490"/>
        </w:tabs>
        <w:spacing w:after="160" w:line="259" w:lineRule="auto"/>
        <w:ind w:left="360" w:right="51" w:hanging="10"/>
        <w:contextualSpacing/>
        <w:rPr>
          <w:rFonts w:ascii="Calibri" w:eastAsia="Cambria" w:hAnsi="Calibri" w:cs="Calibri"/>
          <w:color w:val="000000"/>
        </w:rPr>
      </w:pPr>
    </w:p>
    <w:p w14:paraId="34C907F4" w14:textId="77777777" w:rsidR="00D0706C" w:rsidRPr="006C6124" w:rsidRDefault="00D0706C" w:rsidP="00D0706C">
      <w:pPr>
        <w:spacing w:after="5" w:line="257" w:lineRule="auto"/>
        <w:ind w:left="10" w:right="51" w:hanging="10"/>
        <w:rPr>
          <w:rFonts w:ascii="Calibri" w:eastAsia="Times New Roman" w:hAnsi="Calibri" w:cs="Calibri"/>
          <w:color w:val="000000"/>
        </w:rPr>
      </w:pPr>
      <w:r w:rsidRPr="006C6124">
        <w:rPr>
          <w:rFonts w:ascii="Calibri" w:eastAsia="Times New Roman" w:hAnsi="Calibri" w:cs="Calibri"/>
          <w:b/>
          <w:bCs/>
          <w:color w:val="000000"/>
          <w:u w:val="single"/>
        </w:rPr>
        <w:t>(h) Waiver of Statewideness</w:t>
      </w:r>
      <w:r w:rsidRPr="006C6124">
        <w:rPr>
          <w:rFonts w:ascii="Calibri" w:eastAsia="Times New Roman" w:hAnsi="Calibri" w:cs="Calibri"/>
          <w:color w:val="000000"/>
          <w:u w:val="single"/>
          <w:lang w:val=""/>
        </w:rPr>
        <w:t>.</w:t>
      </w:r>
      <w:r w:rsidRPr="006C6124">
        <w:rPr>
          <w:rFonts w:ascii="Calibri" w:eastAsia="Times New Roman" w:hAnsi="Calibri" w:cs="Calibri"/>
          <w:color w:val="000000"/>
          <w:lang w:val=""/>
        </w:rPr>
        <w:t xml:space="preserve"> The State plan shall be in effect in all political subdivisions of the State,</w:t>
      </w:r>
      <w:r w:rsidRPr="006C6124">
        <w:rPr>
          <w:rFonts w:ascii="Calibri" w:eastAsia="Times New Roman" w:hAnsi="Calibri" w:cs="Calibri"/>
          <w:color w:val="000000"/>
        </w:rPr>
        <w:t xml:space="preserve"> however, the Commissioner of the Rehabilitation Services Administration (Commissioner) may waive compliance with this requirement in accordance with section 101(a)(4) of the Rehabilitation Act and the implementing regulations in 34 CFR 361.26. If the VR agency is requesting a waiver of statewideness or has a previously approved waiver of statewideness, describe the types of services and the local entities providing such services under the waiver of statewideness and how the agency has complied with the requirements in 34 CFR 361.26. If the VR agency is not requesting or does not have an approved waiver of statewideness, please indicate “not applicable.”</w:t>
      </w:r>
    </w:p>
    <w:p w14:paraId="641B8085" w14:textId="383FABA4" w:rsidR="00D0706C" w:rsidRPr="006C6124" w:rsidRDefault="00D0706C" w:rsidP="00D0706C">
      <w:pPr>
        <w:spacing w:after="5" w:line="257" w:lineRule="auto"/>
        <w:ind w:left="10" w:right="51" w:hanging="10"/>
        <w:rPr>
          <w:rFonts w:ascii="Calibri" w:eastAsia="Times New Roman" w:hAnsi="Calibri" w:cs="Calibri"/>
          <w:color w:val="000000"/>
        </w:rPr>
      </w:pPr>
    </w:p>
    <w:p w14:paraId="7DA87436" w14:textId="10E104F4" w:rsidR="009047DD" w:rsidRPr="006C6124" w:rsidRDefault="009047DD" w:rsidP="00D0706C">
      <w:pPr>
        <w:spacing w:after="5" w:line="257" w:lineRule="auto"/>
        <w:ind w:left="10" w:right="51" w:hanging="10"/>
        <w:rPr>
          <w:rFonts w:ascii="Calibri" w:eastAsia="Times New Roman" w:hAnsi="Calibri" w:cs="Calibri"/>
          <w:color w:val="000000"/>
        </w:rPr>
      </w:pPr>
      <w:r w:rsidRPr="006C6124">
        <w:rPr>
          <w:rFonts w:ascii="Calibri" w:eastAsia="Times New Roman" w:hAnsi="Calibri" w:cs="Calibri"/>
          <w:color w:val="000000"/>
        </w:rPr>
        <w:t xml:space="preserve">Not Applicable </w:t>
      </w:r>
    </w:p>
    <w:p w14:paraId="2387B832" w14:textId="28B213F2" w:rsidR="009047DD" w:rsidRPr="006C6124" w:rsidRDefault="009047DD" w:rsidP="00D0706C">
      <w:pPr>
        <w:spacing w:after="5" w:line="257" w:lineRule="auto"/>
        <w:ind w:left="10" w:right="51" w:hanging="10"/>
        <w:rPr>
          <w:rFonts w:ascii="Calibri" w:eastAsia="Times New Roman" w:hAnsi="Calibri" w:cs="Calibri"/>
          <w:color w:val="000000"/>
        </w:rPr>
      </w:pPr>
    </w:p>
    <w:p w14:paraId="52B3E878" w14:textId="77777777" w:rsidR="009047DD" w:rsidRPr="006C6124" w:rsidRDefault="009047DD" w:rsidP="00D0706C">
      <w:pPr>
        <w:spacing w:after="5" w:line="257" w:lineRule="auto"/>
        <w:ind w:left="10" w:right="51" w:hanging="10"/>
        <w:rPr>
          <w:rFonts w:ascii="Calibri" w:eastAsia="Times New Roman" w:hAnsi="Calibri" w:cs="Calibri"/>
          <w:color w:val="000000"/>
        </w:rPr>
      </w:pPr>
    </w:p>
    <w:p w14:paraId="0E1E69CD"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b/>
          <w:color w:val="000000"/>
          <w:u w:val="single"/>
          <w:lang w:eastAsia="x-none"/>
        </w:rPr>
        <w:t xml:space="preserve">(i) </w:t>
      </w:r>
      <w:r w:rsidRPr="006C6124">
        <w:rPr>
          <w:rFonts w:ascii="Calibri" w:eastAsia="Calibri" w:hAnsi="Calibri" w:cs="Calibri"/>
          <w:b/>
          <w:color w:val="000000"/>
          <w:u w:val="single"/>
          <w:lang w:val="x-none" w:eastAsia="x-none"/>
        </w:rPr>
        <w:t>Comprehensive System of Personnel Development</w:t>
      </w:r>
      <w:r w:rsidRPr="006C6124">
        <w:rPr>
          <w:rFonts w:ascii="Calibri" w:eastAsia="Calibri" w:hAnsi="Calibri" w:cs="Calibri"/>
          <w:b/>
          <w:color w:val="000000"/>
          <w:u w:val="single"/>
          <w:lang w:eastAsia="x-none"/>
        </w:rPr>
        <w:t xml:space="preserve">. </w:t>
      </w:r>
      <w:r w:rsidRPr="006C6124">
        <w:rPr>
          <w:rFonts w:ascii="Calibri" w:eastAsia="Calibri" w:hAnsi="Calibri" w:cs="Calibri"/>
          <w:color w:val="000000"/>
        </w:rPr>
        <w:t xml:space="preserve">In accordance with the requirements in section 101(a)(7) of the Rehabilitation Act, the VR agency must develop and maintain annually a description (consistent with the purposes </w:t>
      </w:r>
      <w:r w:rsidRPr="006C6124">
        <w:rPr>
          <w:rFonts w:ascii="Calibri" w:eastAsia="Calibri" w:hAnsi="Calibri" w:cs="Calibri"/>
          <w:color w:val="000000"/>
        </w:rPr>
        <w:lastRenderedPageBreak/>
        <w:t xml:space="preserve">of the Rehabilitation Act) of the VR agency’s comprehensive system of personnel development, which shall include a description of the procedures and activities the VR agency will undertake to ensure it has an adequate supply of qualified State rehabilitation professionals and paraprofessionals that provides the following: </w:t>
      </w:r>
    </w:p>
    <w:p w14:paraId="3FCD9E23"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p>
    <w:p w14:paraId="4E387530" w14:textId="77777777" w:rsidR="00D0706C" w:rsidRPr="006C6124" w:rsidRDefault="00D0706C">
      <w:pPr>
        <w:numPr>
          <w:ilvl w:val="0"/>
          <w:numId w:val="22"/>
        </w:numPr>
        <w:spacing w:after="160" w:line="259" w:lineRule="auto"/>
        <w:ind w:right="51"/>
        <w:contextualSpacing/>
        <w:rPr>
          <w:rFonts w:ascii="Calibri" w:eastAsia="Calibri" w:hAnsi="Calibri" w:cs="Calibri"/>
          <w:color w:val="000000"/>
          <w:lang w:eastAsia="x-none"/>
        </w:rPr>
      </w:pPr>
      <w:r w:rsidRPr="006C6124">
        <w:rPr>
          <w:rFonts w:ascii="Calibri" w:eastAsia="Calibri" w:hAnsi="Calibri" w:cs="Calibri"/>
          <w:color w:val="000000"/>
          <w:lang w:eastAsia="x-none"/>
        </w:rPr>
        <w:t xml:space="preserve">Analysis of current personnel and projected personnel needs including— </w:t>
      </w:r>
    </w:p>
    <w:p w14:paraId="66F48F6C"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r w:rsidRPr="006C6124">
        <w:rPr>
          <w:rFonts w:ascii="Calibri" w:eastAsia="Calibri" w:hAnsi="Calibri" w:cs="Calibri"/>
          <w:color w:val="000000"/>
          <w:lang w:eastAsia="x-none"/>
        </w:rPr>
        <w:t xml:space="preserve"> </w:t>
      </w:r>
    </w:p>
    <w:p w14:paraId="4F2F0C08" w14:textId="77777777" w:rsidR="00D0706C" w:rsidRPr="006C6124" w:rsidRDefault="00D0706C">
      <w:pPr>
        <w:numPr>
          <w:ilvl w:val="0"/>
          <w:numId w:val="23"/>
        </w:numPr>
        <w:spacing w:after="160" w:line="259" w:lineRule="auto"/>
        <w:ind w:right="51"/>
        <w:contextualSpacing/>
        <w:rPr>
          <w:rFonts w:ascii="Calibri" w:eastAsia="Calibri" w:hAnsi="Calibri" w:cs="Calibri"/>
          <w:color w:val="000000"/>
          <w:lang w:val="x-none" w:eastAsia="x-none"/>
        </w:rPr>
      </w:pPr>
      <w:proofErr w:type="spellStart"/>
      <w:r w:rsidRPr="006C6124">
        <w:rPr>
          <w:rFonts w:ascii="Calibri" w:eastAsia="Calibri" w:hAnsi="Calibri" w:cs="Calibri"/>
          <w:color w:val="000000"/>
          <w:lang w:eastAsia="x-none"/>
        </w:rPr>
        <w:t>T</w:t>
      </w:r>
      <w:r w:rsidRPr="006C6124">
        <w:rPr>
          <w:rFonts w:ascii="Calibri" w:eastAsia="Calibri" w:hAnsi="Calibri" w:cs="Calibri"/>
          <w:color w:val="000000"/>
          <w:lang w:val="x-none" w:eastAsia="x-none"/>
        </w:rPr>
        <w:t>he</w:t>
      </w:r>
      <w:proofErr w:type="spellEnd"/>
      <w:r w:rsidRPr="006C6124">
        <w:rPr>
          <w:rFonts w:ascii="Calibri" w:eastAsia="Calibri" w:hAnsi="Calibri" w:cs="Calibri"/>
          <w:color w:val="000000"/>
          <w:lang w:val="x-none" w:eastAsia="x-none"/>
        </w:rPr>
        <w:t xml:space="preserve"> number and type of personnel that are employed by the</w:t>
      </w:r>
      <w:r w:rsidRPr="006C6124">
        <w:rPr>
          <w:rFonts w:ascii="Calibri" w:eastAsia="Calibri" w:hAnsi="Calibri" w:cs="Calibri"/>
          <w:color w:val="000000"/>
          <w:lang w:eastAsia="x-none"/>
        </w:rPr>
        <w:t xml:space="preserve"> VR agency</w:t>
      </w:r>
      <w:r w:rsidRPr="006C6124">
        <w:rPr>
          <w:rFonts w:ascii="Calibri" w:eastAsia="Calibri" w:hAnsi="Calibri" w:cs="Calibri"/>
          <w:color w:val="000000"/>
          <w:lang w:val="x-none" w:eastAsia="x-none"/>
        </w:rPr>
        <w:t xml:space="preserve"> in the provision of vocational rehabilitation services, including ratios of qualified vocational rehabilitation counselors to clients;</w:t>
      </w:r>
    </w:p>
    <w:p w14:paraId="5AED7B07" w14:textId="77777777" w:rsidR="00D0706C" w:rsidRPr="006C6124" w:rsidRDefault="00D0706C">
      <w:pPr>
        <w:numPr>
          <w:ilvl w:val="0"/>
          <w:numId w:val="23"/>
        </w:numPr>
        <w:spacing w:after="160" w:line="259" w:lineRule="auto"/>
        <w:ind w:right="51"/>
        <w:contextualSpacing/>
        <w:rPr>
          <w:rFonts w:ascii="Calibri" w:eastAsia="Calibri" w:hAnsi="Calibri" w:cs="Calibri"/>
          <w:color w:val="000000"/>
          <w:lang w:val="x-none" w:eastAsia="x-none"/>
        </w:rPr>
      </w:pPr>
      <w:proofErr w:type="spellStart"/>
      <w:r w:rsidRPr="006C6124">
        <w:rPr>
          <w:rFonts w:ascii="Calibri" w:eastAsia="Calibri" w:hAnsi="Calibri" w:cs="Calibri"/>
          <w:color w:val="000000"/>
          <w:lang w:eastAsia="x-none"/>
        </w:rPr>
        <w:t>T</w:t>
      </w:r>
      <w:r w:rsidRPr="006C6124">
        <w:rPr>
          <w:rFonts w:ascii="Calibri" w:eastAsia="Calibri" w:hAnsi="Calibri" w:cs="Calibri"/>
          <w:color w:val="000000"/>
          <w:lang w:val="x-none" w:eastAsia="x-none"/>
        </w:rPr>
        <w:t>he</w:t>
      </w:r>
      <w:proofErr w:type="spellEnd"/>
      <w:r w:rsidRPr="006C6124">
        <w:rPr>
          <w:rFonts w:ascii="Calibri" w:eastAsia="Calibri" w:hAnsi="Calibri" w:cs="Calibri"/>
          <w:color w:val="000000"/>
          <w:lang w:val="x-none" w:eastAsia="x-none"/>
        </w:rPr>
        <w:t xml:space="preserve"> number of personnel currently needed by the</w:t>
      </w:r>
      <w:r w:rsidRPr="006C6124">
        <w:rPr>
          <w:rFonts w:ascii="Calibri" w:eastAsia="Calibri" w:hAnsi="Calibri" w:cs="Calibri"/>
          <w:color w:val="000000"/>
          <w:lang w:eastAsia="x-none"/>
        </w:rPr>
        <w:t xml:space="preserve"> VR </w:t>
      </w:r>
      <w:r w:rsidRPr="006C6124">
        <w:rPr>
          <w:rFonts w:ascii="Calibri" w:eastAsia="Calibri" w:hAnsi="Calibri" w:cs="Calibri"/>
          <w:color w:val="000000"/>
          <w:lang w:val="x-none" w:eastAsia="x-none"/>
        </w:rPr>
        <w:t>agency to provide VR services, broken down by personnel category; and</w:t>
      </w:r>
    </w:p>
    <w:p w14:paraId="63959980" w14:textId="77777777" w:rsidR="00D0706C" w:rsidRPr="006C6124" w:rsidRDefault="00D0706C">
      <w:pPr>
        <w:numPr>
          <w:ilvl w:val="0"/>
          <w:numId w:val="23"/>
        </w:numPr>
        <w:spacing w:after="160" w:line="259" w:lineRule="auto"/>
        <w:ind w:right="51"/>
        <w:contextualSpacing/>
        <w:rPr>
          <w:rFonts w:ascii="Calibri" w:eastAsia="Calibri" w:hAnsi="Calibri" w:cs="Calibri"/>
          <w:color w:val="000000"/>
          <w:lang w:val="x-none" w:eastAsia="x-none"/>
        </w:rPr>
      </w:pPr>
      <w:r w:rsidRPr="006C6124">
        <w:rPr>
          <w:rFonts w:ascii="Calibri" w:eastAsia="Calibri" w:hAnsi="Calibri" w:cs="Calibri"/>
          <w:color w:val="000000"/>
          <w:lang w:eastAsia="x-none"/>
        </w:rPr>
        <w:t xml:space="preserve">Projections </w:t>
      </w:r>
      <w:r w:rsidRPr="006C6124">
        <w:rPr>
          <w:rFonts w:ascii="Calibri" w:eastAsia="Calibri" w:hAnsi="Calibri" w:cs="Calibri"/>
          <w:color w:val="000000"/>
          <w:lang w:val="x-none" w:eastAsia="x-none"/>
        </w:rPr>
        <w:t xml:space="preserve">of the number of personnel, broken down by personnel category, who will be needed by the </w:t>
      </w:r>
      <w:r w:rsidRPr="006C6124">
        <w:rPr>
          <w:rFonts w:ascii="Calibri" w:eastAsia="Calibri" w:hAnsi="Calibri" w:cs="Calibri"/>
          <w:color w:val="000000"/>
          <w:lang w:eastAsia="x-none"/>
        </w:rPr>
        <w:t xml:space="preserve">VR </w:t>
      </w:r>
      <w:r w:rsidRPr="006C6124">
        <w:rPr>
          <w:rFonts w:ascii="Calibri" w:eastAsia="Calibri" w:hAnsi="Calibri" w:cs="Calibri"/>
          <w:color w:val="000000"/>
          <w:lang w:val="x-none" w:eastAsia="x-none"/>
        </w:rPr>
        <w:t>agency to provide VR services in 5 years based on projections of the number of individuals to be served, including individuals with significant disabilities, the number of personnel expected to retire or leave the field, and other relevant factors.</w:t>
      </w:r>
    </w:p>
    <w:p w14:paraId="7D2EBB28" w14:textId="77777777" w:rsidR="00D0706C" w:rsidRPr="006C6124" w:rsidRDefault="00D0706C" w:rsidP="00D0706C">
      <w:pPr>
        <w:spacing w:after="160" w:line="259" w:lineRule="auto"/>
        <w:ind w:left="1008" w:right="51" w:hanging="10"/>
        <w:contextualSpacing/>
        <w:rPr>
          <w:rFonts w:ascii="Calibri" w:eastAsia="Calibri" w:hAnsi="Calibri" w:cs="Calibri"/>
          <w:color w:val="000000"/>
          <w:lang w:val="x-none" w:eastAsia="x-none"/>
        </w:rPr>
      </w:pPr>
    </w:p>
    <w:tbl>
      <w:tblPr>
        <w:tblStyle w:val="TableGrid"/>
        <w:tblW w:w="9355" w:type="dxa"/>
        <w:tblLayout w:type="fixed"/>
        <w:tblLook w:val="04A0" w:firstRow="1" w:lastRow="0" w:firstColumn="1" w:lastColumn="0" w:noHBand="0" w:noVBand="1"/>
      </w:tblPr>
      <w:tblGrid>
        <w:gridCol w:w="2575"/>
        <w:gridCol w:w="2048"/>
        <w:gridCol w:w="2315"/>
        <w:gridCol w:w="2417"/>
      </w:tblGrid>
      <w:tr w:rsidR="00D0706C" w:rsidRPr="006C6124" w14:paraId="142D8750" w14:textId="77777777">
        <w:tc>
          <w:tcPr>
            <w:tcW w:w="2575" w:type="dxa"/>
            <w:vAlign w:val="bottom"/>
          </w:tcPr>
          <w:p w14:paraId="04CEF0CF"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Personnel Category</w:t>
            </w:r>
          </w:p>
        </w:tc>
        <w:tc>
          <w:tcPr>
            <w:tcW w:w="2048" w:type="dxa"/>
            <w:vAlign w:val="bottom"/>
          </w:tcPr>
          <w:p w14:paraId="11F8F1AB"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No. of Personnel Employed</w:t>
            </w:r>
          </w:p>
        </w:tc>
        <w:tc>
          <w:tcPr>
            <w:tcW w:w="2315" w:type="dxa"/>
            <w:vAlign w:val="bottom"/>
          </w:tcPr>
          <w:p w14:paraId="165BF701"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No. of Personnel Currently Needed</w:t>
            </w:r>
          </w:p>
        </w:tc>
        <w:tc>
          <w:tcPr>
            <w:tcW w:w="2417" w:type="dxa"/>
          </w:tcPr>
          <w:p w14:paraId="611F9895"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Projected No. of Personnel Needed in 5 Years</w:t>
            </w:r>
          </w:p>
        </w:tc>
      </w:tr>
      <w:tr w:rsidR="00D0706C" w:rsidRPr="006C6124" w14:paraId="0297C8F8" w14:textId="77777777" w:rsidTr="00D86613">
        <w:tc>
          <w:tcPr>
            <w:tcW w:w="2575" w:type="dxa"/>
          </w:tcPr>
          <w:p w14:paraId="31ACD337" w14:textId="117FF867" w:rsidR="00D0706C" w:rsidRPr="006C6124" w:rsidRDefault="007314CB"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Director</w:t>
            </w:r>
          </w:p>
        </w:tc>
        <w:tc>
          <w:tcPr>
            <w:tcW w:w="2048" w:type="dxa"/>
            <w:vAlign w:val="center"/>
          </w:tcPr>
          <w:p w14:paraId="4E2FC5F0" w14:textId="477B0036" w:rsidR="00D0706C" w:rsidRPr="006C6124" w:rsidRDefault="007364EE"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315" w:type="dxa"/>
            <w:vAlign w:val="center"/>
          </w:tcPr>
          <w:p w14:paraId="19C963AD" w14:textId="54C3F93F" w:rsidR="00D0706C" w:rsidRPr="006C6124" w:rsidRDefault="007364EE"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vAlign w:val="center"/>
          </w:tcPr>
          <w:p w14:paraId="5E01B55E" w14:textId="7D3DD9B9" w:rsidR="00D0706C" w:rsidRPr="006C6124" w:rsidRDefault="007364EE"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r>
      <w:tr w:rsidR="00D0706C" w:rsidRPr="006C6124" w14:paraId="70FF39B8" w14:textId="77777777" w:rsidTr="0019754B">
        <w:tc>
          <w:tcPr>
            <w:tcW w:w="2575" w:type="dxa"/>
          </w:tcPr>
          <w:p w14:paraId="14058233" w14:textId="60AE2368" w:rsidR="00D0706C" w:rsidRPr="006C6124" w:rsidRDefault="00D659F4" w:rsidP="00D659F4">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Deputy Director</w:t>
            </w:r>
          </w:p>
        </w:tc>
        <w:tc>
          <w:tcPr>
            <w:tcW w:w="2048" w:type="dxa"/>
            <w:vAlign w:val="center"/>
          </w:tcPr>
          <w:p w14:paraId="3260A989" w14:textId="139143EC" w:rsidR="00D0706C" w:rsidRPr="006C6124" w:rsidRDefault="00D659F4"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315" w:type="dxa"/>
            <w:shd w:val="clear" w:color="auto" w:fill="auto"/>
            <w:vAlign w:val="center"/>
          </w:tcPr>
          <w:p w14:paraId="4154B06E" w14:textId="3B6898EA" w:rsidR="00D0706C" w:rsidRPr="006C6124" w:rsidRDefault="0079254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6901469F" w14:textId="1E6E89E9" w:rsidR="00D0706C" w:rsidRPr="006C6124" w:rsidRDefault="00AF0B60"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0706C" w:rsidRPr="006C6124" w14:paraId="5F0EAB0A" w14:textId="77777777" w:rsidTr="0019754B">
        <w:tc>
          <w:tcPr>
            <w:tcW w:w="2575" w:type="dxa"/>
          </w:tcPr>
          <w:p w14:paraId="0A5640A2" w14:textId="1E433857" w:rsidR="00D0706C" w:rsidRPr="006C6124" w:rsidRDefault="00792543"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Supervisor</w:t>
            </w:r>
          </w:p>
        </w:tc>
        <w:tc>
          <w:tcPr>
            <w:tcW w:w="2048" w:type="dxa"/>
            <w:vAlign w:val="center"/>
          </w:tcPr>
          <w:p w14:paraId="29FA32D6" w14:textId="3094303F" w:rsidR="00D0706C" w:rsidRPr="006C6124" w:rsidRDefault="0079254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5</w:t>
            </w:r>
          </w:p>
        </w:tc>
        <w:tc>
          <w:tcPr>
            <w:tcW w:w="2315" w:type="dxa"/>
            <w:shd w:val="clear" w:color="auto" w:fill="auto"/>
            <w:vAlign w:val="center"/>
          </w:tcPr>
          <w:p w14:paraId="7E7D071E" w14:textId="400BBF5F" w:rsidR="00D0706C" w:rsidRPr="006C6124" w:rsidRDefault="0079254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1D86FFC3" w14:textId="1DB97B3A" w:rsidR="00D0706C" w:rsidRPr="006C6124" w:rsidRDefault="0079254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r>
      <w:tr w:rsidR="00D0706C" w:rsidRPr="006C6124" w14:paraId="2CF0D261" w14:textId="77777777" w:rsidTr="0019754B">
        <w:tc>
          <w:tcPr>
            <w:tcW w:w="2575" w:type="dxa"/>
          </w:tcPr>
          <w:p w14:paraId="50C4783F" w14:textId="13ADA7FE" w:rsidR="00D0706C" w:rsidRPr="006C6124" w:rsidRDefault="00792543"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Pre-ETS Coordinator</w:t>
            </w:r>
          </w:p>
        </w:tc>
        <w:tc>
          <w:tcPr>
            <w:tcW w:w="2048" w:type="dxa"/>
            <w:vAlign w:val="center"/>
          </w:tcPr>
          <w:p w14:paraId="1C45EC05" w14:textId="55CDDCFD" w:rsidR="00D0706C" w:rsidRPr="006C6124" w:rsidRDefault="002F7BAC"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315" w:type="dxa"/>
            <w:shd w:val="clear" w:color="auto" w:fill="auto"/>
            <w:vAlign w:val="center"/>
          </w:tcPr>
          <w:p w14:paraId="417C3B35" w14:textId="55A3C63A" w:rsidR="00D0706C" w:rsidRPr="006C6124" w:rsidRDefault="002F7BAC"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55F82D5B" w14:textId="06F883A1" w:rsidR="00D0706C" w:rsidRPr="006C6124" w:rsidRDefault="002F7BAC"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r>
      <w:tr w:rsidR="00D0706C" w:rsidRPr="006C6124" w14:paraId="52F49A55" w14:textId="77777777" w:rsidTr="0019754B">
        <w:tc>
          <w:tcPr>
            <w:tcW w:w="2575" w:type="dxa"/>
          </w:tcPr>
          <w:p w14:paraId="2DC3904E" w14:textId="65C6EB4B" w:rsidR="00D0706C" w:rsidRPr="006C6124" w:rsidRDefault="002F7BA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Rehabilitation Counselor</w:t>
            </w:r>
          </w:p>
        </w:tc>
        <w:tc>
          <w:tcPr>
            <w:tcW w:w="2048" w:type="dxa"/>
            <w:vAlign w:val="center"/>
          </w:tcPr>
          <w:p w14:paraId="4283DB99" w14:textId="215ACAFC" w:rsidR="00D0706C" w:rsidRPr="006C6124" w:rsidRDefault="002F7BAC"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14</w:t>
            </w:r>
          </w:p>
        </w:tc>
        <w:tc>
          <w:tcPr>
            <w:tcW w:w="2315" w:type="dxa"/>
            <w:shd w:val="clear" w:color="auto" w:fill="auto"/>
            <w:vAlign w:val="center"/>
          </w:tcPr>
          <w:p w14:paraId="578C5F90" w14:textId="03DDB26F" w:rsidR="00D0706C" w:rsidRPr="006C6124" w:rsidRDefault="0032236F"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3F3AEF21" w14:textId="48882DC2" w:rsidR="00D0706C" w:rsidRPr="006C6124" w:rsidRDefault="008E3DC6"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10</w:t>
            </w:r>
          </w:p>
        </w:tc>
      </w:tr>
      <w:tr w:rsidR="00D0706C" w:rsidRPr="006C6124" w14:paraId="1E9700E3" w14:textId="77777777" w:rsidTr="0019754B">
        <w:tc>
          <w:tcPr>
            <w:tcW w:w="2575" w:type="dxa"/>
          </w:tcPr>
          <w:p w14:paraId="0CD18473" w14:textId="606462E0" w:rsidR="00D0706C" w:rsidRPr="006C6124" w:rsidRDefault="002F7BA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Pre-ETS Rehabilitation Counselor</w:t>
            </w:r>
          </w:p>
        </w:tc>
        <w:tc>
          <w:tcPr>
            <w:tcW w:w="2048" w:type="dxa"/>
            <w:vAlign w:val="center"/>
          </w:tcPr>
          <w:p w14:paraId="5CD2F3E3" w14:textId="150689BE" w:rsidR="00D0706C" w:rsidRPr="006C6124" w:rsidRDefault="00663FE2"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3</w:t>
            </w:r>
          </w:p>
        </w:tc>
        <w:tc>
          <w:tcPr>
            <w:tcW w:w="2315" w:type="dxa"/>
            <w:shd w:val="clear" w:color="auto" w:fill="auto"/>
            <w:vAlign w:val="center"/>
          </w:tcPr>
          <w:p w14:paraId="23E32994" w14:textId="2B504C83" w:rsidR="00D0706C" w:rsidRPr="006C6124" w:rsidRDefault="008E3DC6"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5CBECBA3" w14:textId="36DEEB22" w:rsidR="00D0706C" w:rsidRPr="006C6124" w:rsidRDefault="00663FE2"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07A91F5D" w14:textId="77777777" w:rsidTr="0019754B">
        <w:tc>
          <w:tcPr>
            <w:tcW w:w="2575" w:type="dxa"/>
          </w:tcPr>
          <w:p w14:paraId="79977517" w14:textId="5CB1BFEB" w:rsidR="00D86613" w:rsidRPr="006C6124" w:rsidRDefault="00663FE2"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Vocational Rehabilitation Technician</w:t>
            </w:r>
          </w:p>
        </w:tc>
        <w:tc>
          <w:tcPr>
            <w:tcW w:w="2048" w:type="dxa"/>
            <w:vAlign w:val="center"/>
          </w:tcPr>
          <w:p w14:paraId="4273DBE1" w14:textId="7F22227D" w:rsidR="00D86613" w:rsidRPr="006C6124" w:rsidRDefault="00D44CCA"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11</w:t>
            </w:r>
          </w:p>
        </w:tc>
        <w:tc>
          <w:tcPr>
            <w:tcW w:w="2315" w:type="dxa"/>
            <w:shd w:val="clear" w:color="auto" w:fill="auto"/>
            <w:vAlign w:val="center"/>
          </w:tcPr>
          <w:p w14:paraId="71C72F8F" w14:textId="4293F9AF" w:rsidR="00D86613" w:rsidRPr="006C6124" w:rsidRDefault="008E3DC6"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01788594" w14:textId="3906B063" w:rsidR="00D86613" w:rsidRPr="006C6124" w:rsidRDefault="00036F79"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5</w:t>
            </w:r>
          </w:p>
        </w:tc>
      </w:tr>
      <w:tr w:rsidR="00D86613" w:rsidRPr="006C6124" w14:paraId="73563CEB" w14:textId="77777777" w:rsidTr="0019754B">
        <w:tc>
          <w:tcPr>
            <w:tcW w:w="2575" w:type="dxa"/>
          </w:tcPr>
          <w:p w14:paraId="0CCECA02" w14:textId="786FD54A" w:rsidR="00D86613" w:rsidRPr="006C6124" w:rsidRDefault="00D44CCA"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Employment Specialist</w:t>
            </w:r>
          </w:p>
        </w:tc>
        <w:tc>
          <w:tcPr>
            <w:tcW w:w="2048" w:type="dxa"/>
            <w:vAlign w:val="center"/>
          </w:tcPr>
          <w:p w14:paraId="74286A71" w14:textId="755675FC" w:rsidR="00D86613" w:rsidRPr="006C6124" w:rsidRDefault="00D44CCA"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4</w:t>
            </w:r>
          </w:p>
        </w:tc>
        <w:tc>
          <w:tcPr>
            <w:tcW w:w="2315" w:type="dxa"/>
            <w:shd w:val="clear" w:color="auto" w:fill="auto"/>
            <w:vAlign w:val="center"/>
          </w:tcPr>
          <w:p w14:paraId="4D886856" w14:textId="10F9395D" w:rsidR="00D86613" w:rsidRPr="006C6124" w:rsidRDefault="00D44CCA"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05178BAE" w14:textId="441A5F28" w:rsidR="00D86613" w:rsidRPr="006C6124" w:rsidRDefault="00D44CCA"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377EEF42" w14:textId="77777777" w:rsidTr="0019754B">
        <w:tc>
          <w:tcPr>
            <w:tcW w:w="2575" w:type="dxa"/>
          </w:tcPr>
          <w:p w14:paraId="38378566" w14:textId="46A41E51" w:rsidR="00D86613" w:rsidRPr="006C6124" w:rsidRDefault="00EC5CA6"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Pre-ETS Work Opportunities Navigator</w:t>
            </w:r>
          </w:p>
        </w:tc>
        <w:tc>
          <w:tcPr>
            <w:tcW w:w="2048" w:type="dxa"/>
            <w:vAlign w:val="center"/>
          </w:tcPr>
          <w:p w14:paraId="450576E4" w14:textId="212BD27C" w:rsidR="00D86613" w:rsidRPr="006C6124" w:rsidRDefault="00EC5CA6"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2315" w:type="dxa"/>
            <w:shd w:val="clear" w:color="auto" w:fill="auto"/>
            <w:vAlign w:val="center"/>
          </w:tcPr>
          <w:p w14:paraId="7DAEE4B0" w14:textId="29369658" w:rsidR="00D86613" w:rsidRPr="006C6124" w:rsidRDefault="00EC5CA6"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417" w:type="dxa"/>
            <w:shd w:val="clear" w:color="auto" w:fill="auto"/>
            <w:vAlign w:val="center"/>
          </w:tcPr>
          <w:p w14:paraId="3988284D" w14:textId="50A99936" w:rsidR="00D86613" w:rsidRPr="006C6124" w:rsidRDefault="00036F79"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6ECC3340" w14:textId="77777777" w:rsidTr="0019754B">
        <w:tc>
          <w:tcPr>
            <w:tcW w:w="2575" w:type="dxa"/>
          </w:tcPr>
          <w:p w14:paraId="56ECA9DC" w14:textId="6D13BAF5" w:rsidR="00D86613" w:rsidRPr="006C6124" w:rsidRDefault="00EC5CA6"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Job Coach</w:t>
            </w:r>
          </w:p>
        </w:tc>
        <w:tc>
          <w:tcPr>
            <w:tcW w:w="2048" w:type="dxa"/>
            <w:vAlign w:val="center"/>
          </w:tcPr>
          <w:p w14:paraId="503D4D9D" w14:textId="4797A59C" w:rsidR="00D86613" w:rsidRPr="006C6124" w:rsidRDefault="00C5314B"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2315" w:type="dxa"/>
            <w:shd w:val="clear" w:color="auto" w:fill="auto"/>
            <w:vAlign w:val="center"/>
          </w:tcPr>
          <w:p w14:paraId="5AD76111" w14:textId="7F47FD09" w:rsidR="00D86613" w:rsidRPr="006C6124" w:rsidRDefault="005B755E"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0</w:t>
            </w:r>
          </w:p>
        </w:tc>
        <w:tc>
          <w:tcPr>
            <w:tcW w:w="2417" w:type="dxa"/>
            <w:shd w:val="clear" w:color="auto" w:fill="auto"/>
            <w:vAlign w:val="center"/>
          </w:tcPr>
          <w:p w14:paraId="13B3ABA2" w14:textId="15677EE4" w:rsidR="00D86613" w:rsidRPr="006C6124" w:rsidRDefault="00036F79"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08A64250" w14:textId="77777777" w:rsidTr="0019754B">
        <w:tc>
          <w:tcPr>
            <w:tcW w:w="2575" w:type="dxa"/>
          </w:tcPr>
          <w:p w14:paraId="3FF3CE20" w14:textId="0FBA70C2" w:rsidR="00D86613" w:rsidRPr="006C6124" w:rsidRDefault="00C5314B"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Rehabilitation Teacher</w:t>
            </w:r>
          </w:p>
        </w:tc>
        <w:tc>
          <w:tcPr>
            <w:tcW w:w="2048" w:type="dxa"/>
            <w:vAlign w:val="center"/>
          </w:tcPr>
          <w:p w14:paraId="07378941" w14:textId="7E8480AA" w:rsidR="00D86613" w:rsidRPr="006C6124" w:rsidRDefault="00C5314B"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315" w:type="dxa"/>
            <w:shd w:val="clear" w:color="auto" w:fill="auto"/>
            <w:vAlign w:val="center"/>
          </w:tcPr>
          <w:p w14:paraId="78993E1A" w14:textId="3C48F0D2" w:rsidR="00D86613" w:rsidRPr="006C6124" w:rsidRDefault="00C5314B"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29F07431" w14:textId="3E7BB53D" w:rsidR="00D86613" w:rsidRPr="006C6124" w:rsidRDefault="00036F79"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55B329E3" w14:textId="77777777" w:rsidTr="005D36DD">
        <w:tc>
          <w:tcPr>
            <w:tcW w:w="2575" w:type="dxa"/>
          </w:tcPr>
          <w:p w14:paraId="4B7A79DA" w14:textId="5CA48800" w:rsidR="00D86613" w:rsidRPr="006C6124" w:rsidRDefault="00C5314B"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Orientation and Mobility Instructor</w:t>
            </w:r>
          </w:p>
        </w:tc>
        <w:tc>
          <w:tcPr>
            <w:tcW w:w="2048" w:type="dxa"/>
            <w:vAlign w:val="center"/>
          </w:tcPr>
          <w:p w14:paraId="34A18D4B" w14:textId="0D68EA71" w:rsidR="00D86613" w:rsidRPr="006C6124" w:rsidRDefault="005E24C7"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2315" w:type="dxa"/>
            <w:vAlign w:val="center"/>
          </w:tcPr>
          <w:p w14:paraId="34B63BB5" w14:textId="0CF6A8A7" w:rsidR="00D86613" w:rsidRPr="006C6124" w:rsidRDefault="005E24C7"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4E1D50D7" w14:textId="334C7142" w:rsidR="00D86613" w:rsidRPr="006C6124" w:rsidRDefault="0019754B"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3152E5E6" w14:textId="77777777" w:rsidTr="005D36DD">
        <w:tc>
          <w:tcPr>
            <w:tcW w:w="2575" w:type="dxa"/>
          </w:tcPr>
          <w:p w14:paraId="38B8C08B" w14:textId="36E8B4E3" w:rsidR="00D86613" w:rsidRPr="006C6124" w:rsidRDefault="005E24C7"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Assistive Technologist</w:t>
            </w:r>
          </w:p>
        </w:tc>
        <w:tc>
          <w:tcPr>
            <w:tcW w:w="2048" w:type="dxa"/>
            <w:vAlign w:val="center"/>
          </w:tcPr>
          <w:p w14:paraId="22BF6964" w14:textId="18704647" w:rsidR="00D86613" w:rsidRPr="006C6124" w:rsidRDefault="005E24C7"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5</w:t>
            </w:r>
          </w:p>
        </w:tc>
        <w:tc>
          <w:tcPr>
            <w:tcW w:w="2315" w:type="dxa"/>
            <w:vAlign w:val="center"/>
          </w:tcPr>
          <w:p w14:paraId="243AF374" w14:textId="07C346E5" w:rsidR="00D86613" w:rsidRPr="006C6124" w:rsidRDefault="00C83DE4"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0</w:t>
            </w:r>
          </w:p>
        </w:tc>
        <w:tc>
          <w:tcPr>
            <w:tcW w:w="2417" w:type="dxa"/>
            <w:shd w:val="clear" w:color="auto" w:fill="auto"/>
            <w:vAlign w:val="center"/>
          </w:tcPr>
          <w:p w14:paraId="049A5F9E" w14:textId="16A1CCEB" w:rsidR="00D86613" w:rsidRPr="006C6124" w:rsidRDefault="0019754B"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4079822A" w14:textId="77777777" w:rsidTr="005D36DD">
        <w:tc>
          <w:tcPr>
            <w:tcW w:w="2575" w:type="dxa"/>
          </w:tcPr>
          <w:p w14:paraId="2464725A" w14:textId="12E3A8C9" w:rsidR="00D86613" w:rsidRPr="006C6124" w:rsidRDefault="005E24C7"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Data Analyst</w:t>
            </w:r>
          </w:p>
        </w:tc>
        <w:tc>
          <w:tcPr>
            <w:tcW w:w="2048" w:type="dxa"/>
            <w:vAlign w:val="center"/>
          </w:tcPr>
          <w:p w14:paraId="3C83AD47" w14:textId="72908826" w:rsidR="00D86613" w:rsidRPr="006C6124" w:rsidRDefault="00277980"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315" w:type="dxa"/>
            <w:vAlign w:val="center"/>
          </w:tcPr>
          <w:p w14:paraId="229B5AAE" w14:textId="2DC41151" w:rsidR="00D86613" w:rsidRPr="006C6124" w:rsidRDefault="00277980"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417" w:type="dxa"/>
            <w:shd w:val="clear" w:color="auto" w:fill="auto"/>
            <w:vAlign w:val="center"/>
          </w:tcPr>
          <w:p w14:paraId="3CF28F8A" w14:textId="55D91F79" w:rsidR="00D86613" w:rsidRPr="006C6124" w:rsidRDefault="00277980"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1EB3D72F" w14:textId="77777777" w:rsidTr="005D36DD">
        <w:tc>
          <w:tcPr>
            <w:tcW w:w="2575" w:type="dxa"/>
          </w:tcPr>
          <w:p w14:paraId="4B63BF8A" w14:textId="6428ABF3" w:rsidR="00D86613" w:rsidRPr="006C6124" w:rsidRDefault="00277980"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Quality Assurance Specialist</w:t>
            </w:r>
          </w:p>
        </w:tc>
        <w:tc>
          <w:tcPr>
            <w:tcW w:w="2048" w:type="dxa"/>
            <w:vAlign w:val="center"/>
          </w:tcPr>
          <w:p w14:paraId="4CB7DDEF" w14:textId="56784DD5" w:rsidR="00D86613" w:rsidRPr="006C6124" w:rsidRDefault="000B592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315" w:type="dxa"/>
            <w:vAlign w:val="center"/>
          </w:tcPr>
          <w:p w14:paraId="44C9FAA2" w14:textId="604ED25F" w:rsidR="00D86613" w:rsidRPr="006C6124" w:rsidRDefault="000B592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shd w:val="clear" w:color="auto" w:fill="auto"/>
            <w:vAlign w:val="center"/>
          </w:tcPr>
          <w:p w14:paraId="13A0E668" w14:textId="583F01FA" w:rsidR="00D86613" w:rsidRPr="006C6124" w:rsidRDefault="0019754B"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6DA08A72" w14:textId="77777777" w:rsidTr="00D86613">
        <w:tc>
          <w:tcPr>
            <w:tcW w:w="2575" w:type="dxa"/>
          </w:tcPr>
          <w:p w14:paraId="77675949" w14:textId="5F7D0C07" w:rsidR="00D86613" w:rsidRPr="006C6124" w:rsidRDefault="000B5923"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Training and Development Specialist</w:t>
            </w:r>
          </w:p>
        </w:tc>
        <w:tc>
          <w:tcPr>
            <w:tcW w:w="2048" w:type="dxa"/>
            <w:vAlign w:val="center"/>
          </w:tcPr>
          <w:p w14:paraId="52D937B6" w14:textId="5B435078" w:rsidR="00D86613" w:rsidRPr="006C6124" w:rsidRDefault="000B592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c>
          <w:tcPr>
            <w:tcW w:w="2315" w:type="dxa"/>
            <w:vAlign w:val="center"/>
          </w:tcPr>
          <w:p w14:paraId="723B140F" w14:textId="4072E2F6" w:rsidR="00D86613" w:rsidRPr="006C6124" w:rsidRDefault="000B592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vAlign w:val="center"/>
          </w:tcPr>
          <w:p w14:paraId="5F7D8692" w14:textId="00653F5D" w:rsidR="00D86613" w:rsidRPr="006C6124" w:rsidRDefault="0019754B"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7E0D9EFA" w14:textId="77777777" w:rsidTr="00D86613">
        <w:tc>
          <w:tcPr>
            <w:tcW w:w="2575" w:type="dxa"/>
          </w:tcPr>
          <w:p w14:paraId="21FE0DFC" w14:textId="1A73DB11" w:rsidR="00D86613" w:rsidRPr="006C6124" w:rsidRDefault="000B5923"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Payer</w:t>
            </w:r>
          </w:p>
        </w:tc>
        <w:tc>
          <w:tcPr>
            <w:tcW w:w="2048" w:type="dxa"/>
            <w:vAlign w:val="center"/>
          </w:tcPr>
          <w:p w14:paraId="2A6B3724" w14:textId="69A7D5EB" w:rsidR="00D86613" w:rsidRPr="006C6124" w:rsidRDefault="000B592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2</w:t>
            </w:r>
          </w:p>
        </w:tc>
        <w:tc>
          <w:tcPr>
            <w:tcW w:w="2315" w:type="dxa"/>
            <w:vAlign w:val="center"/>
          </w:tcPr>
          <w:p w14:paraId="6E2F3B90" w14:textId="66C681CB" w:rsidR="00D86613" w:rsidRPr="006C6124" w:rsidRDefault="000B592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0</w:t>
            </w:r>
          </w:p>
        </w:tc>
        <w:tc>
          <w:tcPr>
            <w:tcW w:w="2417" w:type="dxa"/>
            <w:vAlign w:val="center"/>
          </w:tcPr>
          <w:p w14:paraId="250CFB33" w14:textId="686E3863" w:rsidR="00D86613" w:rsidRPr="006C6124" w:rsidRDefault="000B5923"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508C8222" w14:textId="77777777" w:rsidTr="00D86613">
        <w:tc>
          <w:tcPr>
            <w:tcW w:w="2575" w:type="dxa"/>
          </w:tcPr>
          <w:p w14:paraId="64EEEF73" w14:textId="0C7AB0D3" w:rsidR="00D86613" w:rsidRPr="006C6124" w:rsidRDefault="000B5923"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Fiscal Staff</w:t>
            </w:r>
          </w:p>
        </w:tc>
        <w:tc>
          <w:tcPr>
            <w:tcW w:w="2048" w:type="dxa"/>
            <w:vAlign w:val="center"/>
          </w:tcPr>
          <w:p w14:paraId="3D650A69" w14:textId="581DCA08" w:rsidR="00D86613" w:rsidRPr="006C6124" w:rsidRDefault="004A4AEF"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3</w:t>
            </w:r>
          </w:p>
        </w:tc>
        <w:tc>
          <w:tcPr>
            <w:tcW w:w="2315" w:type="dxa"/>
            <w:vAlign w:val="center"/>
          </w:tcPr>
          <w:p w14:paraId="684D2CBE" w14:textId="09DC7B69" w:rsidR="00D86613" w:rsidRPr="006C6124" w:rsidRDefault="004A4AEF"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0</w:t>
            </w:r>
          </w:p>
        </w:tc>
        <w:tc>
          <w:tcPr>
            <w:tcW w:w="2417" w:type="dxa"/>
            <w:vAlign w:val="center"/>
          </w:tcPr>
          <w:p w14:paraId="73BA639D" w14:textId="5246F7FE" w:rsidR="00D86613" w:rsidRPr="006C6124" w:rsidRDefault="00F9716D"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D86613" w:rsidRPr="006C6124" w14:paraId="0F014D1A" w14:textId="77777777" w:rsidTr="00D86613">
        <w:tc>
          <w:tcPr>
            <w:tcW w:w="2575" w:type="dxa"/>
          </w:tcPr>
          <w:p w14:paraId="4FA1B020" w14:textId="45EAA25C" w:rsidR="00D86613" w:rsidRPr="006C6124" w:rsidRDefault="00F9716D"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Outreach Coordinator</w:t>
            </w:r>
          </w:p>
        </w:tc>
        <w:tc>
          <w:tcPr>
            <w:tcW w:w="2048" w:type="dxa"/>
            <w:vAlign w:val="center"/>
          </w:tcPr>
          <w:p w14:paraId="08EE94CB" w14:textId="6A773133" w:rsidR="00D86613" w:rsidRPr="006C6124" w:rsidRDefault="0099796B"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2</w:t>
            </w:r>
          </w:p>
        </w:tc>
        <w:tc>
          <w:tcPr>
            <w:tcW w:w="2315" w:type="dxa"/>
            <w:vAlign w:val="center"/>
          </w:tcPr>
          <w:p w14:paraId="43CEE911" w14:textId="79A76B5C" w:rsidR="00D86613" w:rsidRPr="006C6124" w:rsidRDefault="0099796B"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0</w:t>
            </w:r>
          </w:p>
        </w:tc>
        <w:tc>
          <w:tcPr>
            <w:tcW w:w="2417" w:type="dxa"/>
            <w:vAlign w:val="center"/>
          </w:tcPr>
          <w:p w14:paraId="73D0094A" w14:textId="5ADB87AD" w:rsidR="00D86613" w:rsidRPr="006C6124" w:rsidRDefault="00F45C27" w:rsidP="00D86613">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w:t>
            </w:r>
          </w:p>
        </w:tc>
      </w:tr>
      <w:tr w:rsidR="00F9716D" w:rsidRPr="006C6124" w14:paraId="7C92CBEE" w14:textId="77777777" w:rsidTr="00D86613">
        <w:tc>
          <w:tcPr>
            <w:tcW w:w="2575" w:type="dxa"/>
          </w:tcPr>
          <w:p w14:paraId="6B55B35B" w14:textId="44A7C0DF" w:rsidR="00F9716D" w:rsidRPr="006C6124" w:rsidRDefault="00F9716D"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Contracts Specialist</w:t>
            </w:r>
          </w:p>
        </w:tc>
        <w:tc>
          <w:tcPr>
            <w:tcW w:w="2048" w:type="dxa"/>
            <w:vAlign w:val="center"/>
          </w:tcPr>
          <w:p w14:paraId="51CEA876" w14:textId="26CE8F9A" w:rsidR="00F9716D" w:rsidRPr="006C6124" w:rsidRDefault="0099796B"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2</w:t>
            </w:r>
          </w:p>
        </w:tc>
        <w:tc>
          <w:tcPr>
            <w:tcW w:w="2315" w:type="dxa"/>
            <w:vAlign w:val="center"/>
          </w:tcPr>
          <w:p w14:paraId="0021A132" w14:textId="5D67BF11" w:rsidR="00F9716D" w:rsidRPr="006C6124" w:rsidRDefault="0099796B"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0</w:t>
            </w:r>
          </w:p>
        </w:tc>
        <w:tc>
          <w:tcPr>
            <w:tcW w:w="2417" w:type="dxa"/>
            <w:vAlign w:val="center"/>
          </w:tcPr>
          <w:p w14:paraId="2531A4FA" w14:textId="7019CAE3" w:rsidR="00F9716D" w:rsidRPr="006C6124" w:rsidRDefault="002B0186" w:rsidP="00D86613">
            <w:pPr>
              <w:spacing w:after="5" w:line="250" w:lineRule="auto"/>
              <w:ind w:left="10" w:right="51" w:hanging="10"/>
              <w:jc w:val="center"/>
              <w:rPr>
                <w:rFonts w:ascii="Calibri" w:eastAsia="Calibri" w:hAnsi="Calibri" w:cs="Calibri"/>
                <w:color w:val="000000"/>
                <w:lang w:eastAsia="x-none"/>
              </w:rPr>
            </w:pPr>
            <w:r>
              <w:rPr>
                <w:rFonts w:ascii="Calibri" w:eastAsia="Calibri" w:hAnsi="Calibri" w:cs="Calibri"/>
                <w:color w:val="000000"/>
                <w:lang w:eastAsia="x-none"/>
              </w:rPr>
              <w:t>0</w:t>
            </w:r>
          </w:p>
        </w:tc>
      </w:tr>
    </w:tbl>
    <w:p w14:paraId="2209C1AF" w14:textId="77777777" w:rsidR="00D0706C" w:rsidRPr="006C6124" w:rsidRDefault="00D0706C" w:rsidP="007D17EB">
      <w:pPr>
        <w:spacing w:after="360" w:line="250" w:lineRule="auto"/>
        <w:ind w:left="14" w:right="58" w:hanging="14"/>
        <w:rPr>
          <w:rFonts w:ascii="Calibri" w:eastAsia="Calibri" w:hAnsi="Calibri" w:cs="Calibri"/>
          <w:color w:val="000000"/>
          <w:lang w:val="x-none" w:eastAsia="x-none"/>
        </w:rPr>
      </w:pPr>
    </w:p>
    <w:p w14:paraId="6B581968" w14:textId="545BFC66" w:rsidR="00D0706C" w:rsidRPr="006C6124" w:rsidRDefault="00D0706C">
      <w:pPr>
        <w:numPr>
          <w:ilvl w:val="0"/>
          <w:numId w:val="23"/>
        </w:numPr>
        <w:spacing w:after="5" w:line="250" w:lineRule="auto"/>
        <w:ind w:right="51"/>
        <w:contextualSpacing/>
        <w:rPr>
          <w:rFonts w:ascii="Calibri" w:eastAsia="Calibri" w:hAnsi="Calibri" w:cs="Calibri"/>
          <w:iCs/>
          <w:color w:val="000000"/>
          <w:lang w:eastAsia="x-none"/>
        </w:rPr>
      </w:pPr>
      <w:r w:rsidRPr="006C6124">
        <w:rPr>
          <w:rFonts w:ascii="Calibri" w:eastAsia="Calibri" w:hAnsi="Calibri" w:cs="Calibri"/>
          <w:iCs/>
          <w:color w:val="000000"/>
          <w:lang w:eastAsia="x-none"/>
        </w:rPr>
        <w:t>Ratio of qualified VR counselors to clients: [</w:t>
      </w:r>
      <w:r w:rsidR="009506E1" w:rsidRPr="006C6124">
        <w:rPr>
          <w:rFonts w:ascii="Calibri" w:eastAsia="Calibri" w:hAnsi="Calibri" w:cs="Calibri"/>
          <w:iCs/>
          <w:color w:val="000000"/>
          <w:lang w:eastAsia="x-none"/>
        </w:rPr>
        <w:t>1</w:t>
      </w:r>
      <w:r w:rsidR="003111B4">
        <w:rPr>
          <w:rFonts w:ascii="Calibri" w:eastAsia="Calibri" w:hAnsi="Calibri" w:cs="Calibri"/>
          <w:iCs/>
          <w:color w:val="000000"/>
          <w:lang w:eastAsia="x-none"/>
        </w:rPr>
        <w:t>:</w:t>
      </w:r>
      <w:r w:rsidR="009506E1" w:rsidRPr="006C6124">
        <w:rPr>
          <w:rFonts w:ascii="Calibri" w:eastAsia="Calibri" w:hAnsi="Calibri" w:cs="Calibri"/>
          <w:iCs/>
          <w:color w:val="000000"/>
          <w:lang w:eastAsia="x-none"/>
        </w:rPr>
        <w:t>39</w:t>
      </w:r>
      <w:r w:rsidRPr="006C6124">
        <w:rPr>
          <w:rFonts w:ascii="Calibri" w:eastAsia="Calibri" w:hAnsi="Calibri" w:cs="Calibri"/>
          <w:iCs/>
          <w:color w:val="000000"/>
          <w:lang w:eastAsia="x-none"/>
        </w:rPr>
        <w:t>]</w:t>
      </w:r>
    </w:p>
    <w:p w14:paraId="2DD3ABE2" w14:textId="50A5A951" w:rsidR="00D0706C" w:rsidRPr="006C6124" w:rsidRDefault="00D0706C">
      <w:pPr>
        <w:numPr>
          <w:ilvl w:val="0"/>
          <w:numId w:val="23"/>
        </w:numPr>
        <w:spacing w:after="5" w:line="250" w:lineRule="auto"/>
        <w:ind w:right="51"/>
        <w:contextualSpacing/>
        <w:rPr>
          <w:rFonts w:ascii="Calibri" w:eastAsia="Calibri" w:hAnsi="Calibri" w:cs="Calibri"/>
          <w:iCs/>
          <w:color w:val="000000"/>
          <w:lang w:eastAsia="x-none"/>
        </w:rPr>
      </w:pPr>
      <w:r w:rsidRPr="006C6124">
        <w:rPr>
          <w:rFonts w:ascii="Calibri" w:eastAsia="Calibri" w:hAnsi="Calibri" w:cs="Calibri"/>
          <w:iCs/>
          <w:color w:val="000000"/>
          <w:lang w:eastAsia="x-none"/>
        </w:rPr>
        <w:t>Projected number of individuals to be served in 5 years: [</w:t>
      </w:r>
      <w:r w:rsidR="00DD5723" w:rsidRPr="006C6124">
        <w:rPr>
          <w:rFonts w:ascii="Calibri" w:eastAsia="Calibri" w:hAnsi="Calibri" w:cs="Calibri"/>
          <w:iCs/>
          <w:color w:val="000000"/>
          <w:lang w:eastAsia="x-none"/>
        </w:rPr>
        <w:t>920</w:t>
      </w:r>
      <w:r w:rsidRPr="006C6124">
        <w:rPr>
          <w:rFonts w:ascii="Calibri" w:eastAsia="Calibri" w:hAnsi="Calibri" w:cs="Calibri"/>
          <w:iCs/>
          <w:color w:val="000000"/>
          <w:lang w:eastAsia="x-none"/>
        </w:rPr>
        <w:t>]</w:t>
      </w:r>
    </w:p>
    <w:p w14:paraId="69CD3109" w14:textId="77777777" w:rsidR="008E32AD" w:rsidRPr="006C6124" w:rsidRDefault="008E32AD" w:rsidP="006C6124">
      <w:pPr>
        <w:spacing w:after="5" w:line="250" w:lineRule="auto"/>
        <w:ind w:right="51"/>
        <w:rPr>
          <w:rFonts w:ascii="Calibri" w:eastAsia="Calibri" w:hAnsi="Calibri" w:cs="Calibri"/>
          <w:iCs/>
          <w:color w:val="000000"/>
          <w:lang w:eastAsia="x-none"/>
        </w:rPr>
      </w:pPr>
    </w:p>
    <w:tbl>
      <w:tblPr>
        <w:tblW w:w="6420" w:type="dxa"/>
        <w:tblInd w:w="1152" w:type="dxa"/>
        <w:tblLook w:val="04A0" w:firstRow="1" w:lastRow="0" w:firstColumn="1" w:lastColumn="0" w:noHBand="0" w:noVBand="1"/>
      </w:tblPr>
      <w:tblGrid>
        <w:gridCol w:w="1365"/>
        <w:gridCol w:w="958"/>
        <w:gridCol w:w="1226"/>
        <w:gridCol w:w="957"/>
        <w:gridCol w:w="957"/>
        <w:gridCol w:w="957"/>
      </w:tblGrid>
      <w:tr w:rsidR="00CA40CC" w:rsidRPr="006C6124" w14:paraId="647448BE" w14:textId="77777777" w:rsidTr="00CA40CC">
        <w:trPr>
          <w:cantSplit/>
          <w:trHeight w:val="320"/>
        </w:trPr>
        <w:tc>
          <w:tcPr>
            <w:tcW w:w="1365" w:type="dxa"/>
            <w:tcBorders>
              <w:top w:val="single" w:sz="8" w:space="0" w:color="BFBFBF"/>
              <w:left w:val="single" w:sz="8" w:space="0" w:color="BFBFBF"/>
              <w:bottom w:val="single" w:sz="8" w:space="0" w:color="BFBFBF"/>
              <w:right w:val="single" w:sz="8" w:space="0" w:color="BFBFBF"/>
            </w:tcBorders>
            <w:shd w:val="clear" w:color="000000" w:fill="D9D9D9"/>
            <w:vAlign w:val="center"/>
            <w:hideMark/>
          </w:tcPr>
          <w:p w14:paraId="0AE0D56D" w14:textId="77777777" w:rsidR="00CA40CC" w:rsidRPr="006C6124" w:rsidRDefault="00CA40CC" w:rsidP="00CA40CC">
            <w:pPr>
              <w:rPr>
                <w:rFonts w:ascii="Calibri" w:eastAsia="Times New Roman" w:hAnsi="Calibri" w:cs="Calibri"/>
                <w:color w:val="000000"/>
              </w:rPr>
            </w:pPr>
            <w:r w:rsidRPr="006C6124">
              <w:rPr>
                <w:rFonts w:ascii="Calibri" w:eastAsia="Times New Roman" w:hAnsi="Calibri" w:cs="Calibri"/>
                <w:color w:val="000000"/>
              </w:rPr>
              <w:lastRenderedPageBreak/>
              <w:t> </w:t>
            </w:r>
          </w:p>
        </w:tc>
        <w:tc>
          <w:tcPr>
            <w:tcW w:w="958" w:type="dxa"/>
            <w:tcBorders>
              <w:top w:val="single" w:sz="8" w:space="0" w:color="BFBFBF"/>
              <w:left w:val="nil"/>
              <w:bottom w:val="single" w:sz="8" w:space="0" w:color="BFBFBF"/>
              <w:right w:val="single" w:sz="8" w:space="0" w:color="BFBFBF"/>
            </w:tcBorders>
            <w:shd w:val="clear" w:color="000000" w:fill="D9D9D9"/>
            <w:vAlign w:val="center"/>
            <w:hideMark/>
          </w:tcPr>
          <w:p w14:paraId="6E686713"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14:ligatures w14:val="standardContextual"/>
              </w:rPr>
              <w:t>PY2018</w:t>
            </w:r>
          </w:p>
        </w:tc>
        <w:tc>
          <w:tcPr>
            <w:tcW w:w="1226" w:type="dxa"/>
            <w:tcBorders>
              <w:top w:val="single" w:sz="8" w:space="0" w:color="BFBFBF"/>
              <w:left w:val="nil"/>
              <w:bottom w:val="single" w:sz="8" w:space="0" w:color="BFBFBF"/>
              <w:right w:val="single" w:sz="8" w:space="0" w:color="BFBFBF"/>
            </w:tcBorders>
            <w:shd w:val="clear" w:color="000000" w:fill="D9D9D9"/>
            <w:vAlign w:val="center"/>
            <w:hideMark/>
          </w:tcPr>
          <w:p w14:paraId="364731C0"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PY2019</w:t>
            </w:r>
          </w:p>
        </w:tc>
        <w:tc>
          <w:tcPr>
            <w:tcW w:w="957" w:type="dxa"/>
            <w:tcBorders>
              <w:top w:val="single" w:sz="8" w:space="0" w:color="BFBFBF"/>
              <w:left w:val="nil"/>
              <w:bottom w:val="single" w:sz="8" w:space="0" w:color="BFBFBF"/>
              <w:right w:val="single" w:sz="8" w:space="0" w:color="BFBFBF"/>
            </w:tcBorders>
            <w:shd w:val="clear" w:color="000000" w:fill="D9D9D9"/>
            <w:vAlign w:val="center"/>
            <w:hideMark/>
          </w:tcPr>
          <w:p w14:paraId="644C5150"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PY2020</w:t>
            </w:r>
          </w:p>
        </w:tc>
        <w:tc>
          <w:tcPr>
            <w:tcW w:w="957" w:type="dxa"/>
            <w:tcBorders>
              <w:top w:val="single" w:sz="8" w:space="0" w:color="BFBFBF"/>
              <w:left w:val="nil"/>
              <w:bottom w:val="single" w:sz="8" w:space="0" w:color="BFBFBF"/>
              <w:right w:val="single" w:sz="8" w:space="0" w:color="BFBFBF"/>
            </w:tcBorders>
            <w:shd w:val="clear" w:color="000000" w:fill="D9D9D9"/>
            <w:vAlign w:val="center"/>
            <w:hideMark/>
          </w:tcPr>
          <w:p w14:paraId="5ED85D9A"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PY2021</w:t>
            </w:r>
          </w:p>
        </w:tc>
        <w:tc>
          <w:tcPr>
            <w:tcW w:w="957" w:type="dxa"/>
            <w:tcBorders>
              <w:top w:val="single" w:sz="8" w:space="0" w:color="BFBFBF"/>
              <w:left w:val="nil"/>
              <w:bottom w:val="single" w:sz="8" w:space="0" w:color="BFBFBF"/>
              <w:right w:val="single" w:sz="8" w:space="0" w:color="BFBFBF"/>
            </w:tcBorders>
            <w:shd w:val="clear" w:color="000000" w:fill="D9D9D9"/>
            <w:vAlign w:val="center"/>
            <w:hideMark/>
          </w:tcPr>
          <w:p w14:paraId="2D8BBA3C"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PY2022</w:t>
            </w:r>
          </w:p>
        </w:tc>
      </w:tr>
      <w:tr w:rsidR="00CA40CC" w:rsidRPr="006C6124" w14:paraId="38B49B89" w14:textId="77777777" w:rsidTr="00CA40CC">
        <w:trPr>
          <w:cantSplit/>
          <w:trHeight w:val="630"/>
        </w:trPr>
        <w:tc>
          <w:tcPr>
            <w:tcW w:w="1365" w:type="dxa"/>
            <w:tcBorders>
              <w:top w:val="nil"/>
              <w:left w:val="single" w:sz="8" w:space="0" w:color="BFBFBF"/>
              <w:bottom w:val="single" w:sz="8" w:space="0" w:color="BFBFBF"/>
              <w:right w:val="single" w:sz="8" w:space="0" w:color="BFBFBF"/>
            </w:tcBorders>
            <w:shd w:val="clear" w:color="000000" w:fill="F2F2F2"/>
            <w:vAlign w:val="center"/>
            <w:hideMark/>
          </w:tcPr>
          <w:p w14:paraId="5C177CA9" w14:textId="6AC17C0D" w:rsidR="00CA40CC" w:rsidRPr="006C6124" w:rsidRDefault="00CA40CC" w:rsidP="00CA40CC">
            <w:pPr>
              <w:rPr>
                <w:rFonts w:ascii="Calibri" w:eastAsia="Times New Roman" w:hAnsi="Calibri" w:cs="Calibri"/>
                <w:color w:val="000000"/>
              </w:rPr>
            </w:pPr>
            <w:r w:rsidRPr="006C6124">
              <w:rPr>
                <w:rFonts w:ascii="Calibri" w:eastAsia="Times New Roman" w:hAnsi="Calibri" w:cs="Calibri"/>
                <w:color w:val="000000"/>
              </w:rPr>
              <w:t xml:space="preserve">Number </w:t>
            </w:r>
            <w:r w:rsidR="00C73727" w:rsidRPr="006C6124">
              <w:rPr>
                <w:rFonts w:ascii="Calibri" w:eastAsia="Times New Roman" w:hAnsi="Calibri" w:cs="Calibri"/>
                <w:color w:val="000000"/>
              </w:rPr>
              <w:t>S</w:t>
            </w:r>
            <w:r w:rsidRPr="006C6124">
              <w:rPr>
                <w:rFonts w:ascii="Calibri" w:eastAsia="Times New Roman" w:hAnsi="Calibri" w:cs="Calibri"/>
                <w:color w:val="000000"/>
              </w:rPr>
              <w:t>erved</w:t>
            </w:r>
          </w:p>
        </w:tc>
        <w:tc>
          <w:tcPr>
            <w:tcW w:w="958" w:type="dxa"/>
            <w:tcBorders>
              <w:top w:val="nil"/>
              <w:left w:val="nil"/>
              <w:bottom w:val="single" w:sz="8" w:space="0" w:color="BFBFBF"/>
              <w:right w:val="single" w:sz="8" w:space="0" w:color="BFBFBF"/>
            </w:tcBorders>
            <w:shd w:val="clear" w:color="000000" w:fill="F2F2F2"/>
            <w:vAlign w:val="center"/>
            <w:hideMark/>
          </w:tcPr>
          <w:p w14:paraId="0C163EDB"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913</w:t>
            </w:r>
          </w:p>
        </w:tc>
        <w:tc>
          <w:tcPr>
            <w:tcW w:w="1226" w:type="dxa"/>
            <w:tcBorders>
              <w:top w:val="nil"/>
              <w:left w:val="nil"/>
              <w:bottom w:val="single" w:sz="8" w:space="0" w:color="BFBFBF"/>
              <w:right w:val="single" w:sz="8" w:space="0" w:color="BFBFBF"/>
            </w:tcBorders>
            <w:shd w:val="clear" w:color="000000" w:fill="F2F2F2"/>
            <w:vAlign w:val="center"/>
            <w:hideMark/>
          </w:tcPr>
          <w:p w14:paraId="4C761AC5"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870</w:t>
            </w:r>
          </w:p>
        </w:tc>
        <w:tc>
          <w:tcPr>
            <w:tcW w:w="957" w:type="dxa"/>
            <w:tcBorders>
              <w:top w:val="nil"/>
              <w:left w:val="nil"/>
              <w:bottom w:val="single" w:sz="8" w:space="0" w:color="BFBFBF"/>
              <w:right w:val="single" w:sz="8" w:space="0" w:color="BFBFBF"/>
            </w:tcBorders>
            <w:shd w:val="clear" w:color="000000" w:fill="F2F2F2"/>
            <w:vAlign w:val="center"/>
            <w:hideMark/>
          </w:tcPr>
          <w:p w14:paraId="69EDCEC8"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815</w:t>
            </w:r>
          </w:p>
        </w:tc>
        <w:tc>
          <w:tcPr>
            <w:tcW w:w="957" w:type="dxa"/>
            <w:tcBorders>
              <w:top w:val="nil"/>
              <w:left w:val="nil"/>
              <w:bottom w:val="single" w:sz="8" w:space="0" w:color="BFBFBF"/>
              <w:right w:val="single" w:sz="8" w:space="0" w:color="BFBFBF"/>
            </w:tcBorders>
            <w:shd w:val="clear" w:color="000000" w:fill="F2F2F2"/>
            <w:vAlign w:val="center"/>
            <w:hideMark/>
          </w:tcPr>
          <w:p w14:paraId="6322B8FA"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834</w:t>
            </w:r>
          </w:p>
        </w:tc>
        <w:tc>
          <w:tcPr>
            <w:tcW w:w="957" w:type="dxa"/>
            <w:tcBorders>
              <w:top w:val="nil"/>
              <w:left w:val="nil"/>
              <w:bottom w:val="single" w:sz="8" w:space="0" w:color="BFBFBF"/>
              <w:right w:val="single" w:sz="8" w:space="0" w:color="BFBFBF"/>
            </w:tcBorders>
            <w:shd w:val="clear" w:color="000000" w:fill="F2F2F2"/>
            <w:vAlign w:val="center"/>
            <w:hideMark/>
          </w:tcPr>
          <w:p w14:paraId="461F455B"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847</w:t>
            </w:r>
          </w:p>
        </w:tc>
      </w:tr>
      <w:tr w:rsidR="00CA40CC" w:rsidRPr="006C6124" w14:paraId="65475BAE" w14:textId="77777777" w:rsidTr="00CA40CC">
        <w:trPr>
          <w:cantSplit/>
          <w:trHeight w:val="940"/>
        </w:trPr>
        <w:tc>
          <w:tcPr>
            <w:tcW w:w="1365" w:type="dxa"/>
            <w:tcBorders>
              <w:top w:val="nil"/>
              <w:left w:val="single" w:sz="8" w:space="0" w:color="BFBFBF"/>
              <w:bottom w:val="single" w:sz="8" w:space="0" w:color="BFBFBF"/>
              <w:right w:val="single" w:sz="8" w:space="0" w:color="BFBFBF"/>
            </w:tcBorders>
            <w:shd w:val="clear" w:color="000000" w:fill="FFFFFF"/>
            <w:vAlign w:val="center"/>
            <w:hideMark/>
          </w:tcPr>
          <w:p w14:paraId="03BFAAB1" w14:textId="10956A4E" w:rsidR="00CA40CC" w:rsidRPr="006C6124" w:rsidRDefault="00CA40CC" w:rsidP="00CA40CC">
            <w:pPr>
              <w:rPr>
                <w:rFonts w:ascii="Calibri" w:eastAsia="Times New Roman" w:hAnsi="Calibri" w:cs="Calibri"/>
                <w:color w:val="000000"/>
              </w:rPr>
            </w:pPr>
            <w:r w:rsidRPr="006C6124">
              <w:rPr>
                <w:rFonts w:ascii="Calibri" w:eastAsia="Times New Roman" w:hAnsi="Calibri" w:cs="Calibri"/>
                <w:color w:val="000000"/>
              </w:rPr>
              <w:t xml:space="preserve">Number </w:t>
            </w:r>
            <w:r w:rsidR="00C73727" w:rsidRPr="006C6124">
              <w:rPr>
                <w:rFonts w:ascii="Calibri" w:eastAsia="Times New Roman" w:hAnsi="Calibri" w:cs="Calibri"/>
                <w:color w:val="000000"/>
              </w:rPr>
              <w:t>D</w:t>
            </w:r>
            <w:r w:rsidRPr="006C6124">
              <w:rPr>
                <w:rFonts w:ascii="Calibri" w:eastAsia="Times New Roman" w:hAnsi="Calibri" w:cs="Calibri"/>
                <w:color w:val="000000"/>
              </w:rPr>
              <w:t xml:space="preserve">etermined </w:t>
            </w:r>
            <w:r w:rsidR="00C73727" w:rsidRPr="006C6124">
              <w:rPr>
                <w:rFonts w:ascii="Calibri" w:eastAsia="Times New Roman" w:hAnsi="Calibri" w:cs="Calibri"/>
                <w:color w:val="000000"/>
              </w:rPr>
              <w:t>E</w:t>
            </w:r>
            <w:r w:rsidRPr="006C6124">
              <w:rPr>
                <w:rFonts w:ascii="Calibri" w:eastAsia="Times New Roman" w:hAnsi="Calibri" w:cs="Calibri"/>
                <w:color w:val="000000"/>
              </w:rPr>
              <w:t>ligible</w:t>
            </w:r>
          </w:p>
        </w:tc>
        <w:tc>
          <w:tcPr>
            <w:tcW w:w="958" w:type="dxa"/>
            <w:tcBorders>
              <w:top w:val="nil"/>
              <w:left w:val="nil"/>
              <w:bottom w:val="single" w:sz="8" w:space="0" w:color="BFBFBF"/>
              <w:right w:val="single" w:sz="8" w:space="0" w:color="BFBFBF"/>
            </w:tcBorders>
            <w:shd w:val="clear" w:color="000000" w:fill="FFFFFF"/>
            <w:vAlign w:val="center"/>
            <w:hideMark/>
          </w:tcPr>
          <w:p w14:paraId="6B040C8F"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224</w:t>
            </w:r>
          </w:p>
        </w:tc>
        <w:tc>
          <w:tcPr>
            <w:tcW w:w="1226" w:type="dxa"/>
            <w:tcBorders>
              <w:top w:val="nil"/>
              <w:left w:val="nil"/>
              <w:bottom w:val="single" w:sz="8" w:space="0" w:color="BFBFBF"/>
              <w:right w:val="single" w:sz="8" w:space="0" w:color="BFBFBF"/>
            </w:tcBorders>
            <w:shd w:val="clear" w:color="000000" w:fill="FFFFFF"/>
            <w:vAlign w:val="center"/>
            <w:hideMark/>
          </w:tcPr>
          <w:p w14:paraId="1562B600"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176</w:t>
            </w:r>
          </w:p>
        </w:tc>
        <w:tc>
          <w:tcPr>
            <w:tcW w:w="957" w:type="dxa"/>
            <w:tcBorders>
              <w:top w:val="nil"/>
              <w:left w:val="nil"/>
              <w:bottom w:val="single" w:sz="8" w:space="0" w:color="BFBFBF"/>
              <w:right w:val="single" w:sz="8" w:space="0" w:color="BFBFBF"/>
            </w:tcBorders>
            <w:shd w:val="clear" w:color="000000" w:fill="FFFFFF"/>
            <w:vAlign w:val="center"/>
            <w:hideMark/>
          </w:tcPr>
          <w:p w14:paraId="06ECCEC8"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191</w:t>
            </w:r>
          </w:p>
        </w:tc>
        <w:tc>
          <w:tcPr>
            <w:tcW w:w="957" w:type="dxa"/>
            <w:tcBorders>
              <w:top w:val="nil"/>
              <w:left w:val="nil"/>
              <w:bottom w:val="single" w:sz="8" w:space="0" w:color="BFBFBF"/>
              <w:right w:val="single" w:sz="8" w:space="0" w:color="BFBFBF"/>
            </w:tcBorders>
            <w:shd w:val="clear" w:color="000000" w:fill="FFFFFF"/>
            <w:vAlign w:val="center"/>
            <w:hideMark/>
          </w:tcPr>
          <w:p w14:paraId="45C58BA6"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210</w:t>
            </w:r>
          </w:p>
        </w:tc>
        <w:tc>
          <w:tcPr>
            <w:tcW w:w="957" w:type="dxa"/>
            <w:tcBorders>
              <w:top w:val="nil"/>
              <w:left w:val="nil"/>
              <w:bottom w:val="single" w:sz="8" w:space="0" w:color="BFBFBF"/>
              <w:right w:val="single" w:sz="8" w:space="0" w:color="BFBFBF"/>
            </w:tcBorders>
            <w:shd w:val="clear" w:color="000000" w:fill="FFFFFF"/>
            <w:vAlign w:val="center"/>
            <w:hideMark/>
          </w:tcPr>
          <w:p w14:paraId="468B3399"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260</w:t>
            </w:r>
          </w:p>
        </w:tc>
      </w:tr>
      <w:tr w:rsidR="00CA40CC" w:rsidRPr="006C6124" w14:paraId="20CCFA9C" w14:textId="77777777" w:rsidTr="00CA40CC">
        <w:trPr>
          <w:cantSplit/>
          <w:trHeight w:val="940"/>
        </w:trPr>
        <w:tc>
          <w:tcPr>
            <w:tcW w:w="1365" w:type="dxa"/>
            <w:tcBorders>
              <w:top w:val="nil"/>
              <w:left w:val="single" w:sz="8" w:space="0" w:color="BFBFBF"/>
              <w:bottom w:val="single" w:sz="8" w:space="0" w:color="BFBFBF"/>
              <w:right w:val="single" w:sz="8" w:space="0" w:color="BFBFBF"/>
            </w:tcBorders>
            <w:shd w:val="clear" w:color="000000" w:fill="F2F2F2"/>
            <w:vAlign w:val="center"/>
            <w:hideMark/>
          </w:tcPr>
          <w:p w14:paraId="7D952003" w14:textId="616CF0C1" w:rsidR="00CA40CC" w:rsidRPr="006C6124" w:rsidRDefault="00CA40CC" w:rsidP="00CA40CC">
            <w:pPr>
              <w:rPr>
                <w:rFonts w:ascii="Calibri" w:eastAsia="Times New Roman" w:hAnsi="Calibri" w:cs="Calibri"/>
                <w:color w:val="000000"/>
              </w:rPr>
            </w:pPr>
            <w:r w:rsidRPr="006C6124">
              <w:rPr>
                <w:rFonts w:ascii="Calibri" w:eastAsia="Times New Roman" w:hAnsi="Calibri" w:cs="Calibri"/>
                <w:color w:val="000000"/>
              </w:rPr>
              <w:t xml:space="preserve">Pre-ETS </w:t>
            </w:r>
            <w:r w:rsidR="00C73727" w:rsidRPr="006C6124">
              <w:rPr>
                <w:rFonts w:ascii="Calibri" w:eastAsia="Times New Roman" w:hAnsi="Calibri" w:cs="Calibri"/>
                <w:color w:val="000000"/>
              </w:rPr>
              <w:t>P</w:t>
            </w:r>
            <w:r w:rsidRPr="006C6124">
              <w:rPr>
                <w:rFonts w:ascii="Calibri" w:eastAsia="Times New Roman" w:hAnsi="Calibri" w:cs="Calibri"/>
                <w:color w:val="000000"/>
              </w:rPr>
              <w:t xml:space="preserve">otentially </w:t>
            </w:r>
            <w:r w:rsidR="00C73727" w:rsidRPr="006C6124">
              <w:rPr>
                <w:rFonts w:ascii="Calibri" w:eastAsia="Times New Roman" w:hAnsi="Calibri" w:cs="Calibri"/>
                <w:color w:val="000000"/>
              </w:rPr>
              <w:t>E</w:t>
            </w:r>
            <w:r w:rsidRPr="006C6124">
              <w:rPr>
                <w:rFonts w:ascii="Calibri" w:eastAsia="Times New Roman" w:hAnsi="Calibri" w:cs="Calibri"/>
                <w:color w:val="000000"/>
              </w:rPr>
              <w:t>ligible</w:t>
            </w:r>
          </w:p>
        </w:tc>
        <w:tc>
          <w:tcPr>
            <w:tcW w:w="958" w:type="dxa"/>
            <w:tcBorders>
              <w:top w:val="nil"/>
              <w:left w:val="nil"/>
              <w:bottom w:val="single" w:sz="8" w:space="0" w:color="BFBFBF"/>
              <w:right w:val="single" w:sz="8" w:space="0" w:color="BFBFBF"/>
            </w:tcBorders>
            <w:shd w:val="clear" w:color="000000" w:fill="F2F2F2"/>
            <w:vAlign w:val="center"/>
            <w:hideMark/>
          </w:tcPr>
          <w:p w14:paraId="5CFA1251"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12</w:t>
            </w:r>
          </w:p>
        </w:tc>
        <w:tc>
          <w:tcPr>
            <w:tcW w:w="1226" w:type="dxa"/>
            <w:tcBorders>
              <w:top w:val="nil"/>
              <w:left w:val="nil"/>
              <w:bottom w:val="single" w:sz="8" w:space="0" w:color="BFBFBF"/>
              <w:right w:val="single" w:sz="8" w:space="0" w:color="BFBFBF"/>
            </w:tcBorders>
            <w:shd w:val="clear" w:color="000000" w:fill="F2F2F2"/>
            <w:vAlign w:val="center"/>
            <w:hideMark/>
          </w:tcPr>
          <w:p w14:paraId="009D97C1"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17</w:t>
            </w:r>
          </w:p>
        </w:tc>
        <w:tc>
          <w:tcPr>
            <w:tcW w:w="957" w:type="dxa"/>
            <w:tcBorders>
              <w:top w:val="nil"/>
              <w:left w:val="nil"/>
              <w:bottom w:val="single" w:sz="8" w:space="0" w:color="BFBFBF"/>
              <w:right w:val="single" w:sz="8" w:space="0" w:color="BFBFBF"/>
            </w:tcBorders>
            <w:shd w:val="clear" w:color="000000" w:fill="F2F2F2"/>
            <w:vAlign w:val="center"/>
            <w:hideMark/>
          </w:tcPr>
          <w:p w14:paraId="38D370ED"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12</w:t>
            </w:r>
          </w:p>
        </w:tc>
        <w:tc>
          <w:tcPr>
            <w:tcW w:w="957" w:type="dxa"/>
            <w:tcBorders>
              <w:top w:val="nil"/>
              <w:left w:val="nil"/>
              <w:bottom w:val="single" w:sz="8" w:space="0" w:color="BFBFBF"/>
              <w:right w:val="single" w:sz="8" w:space="0" w:color="BFBFBF"/>
            </w:tcBorders>
            <w:shd w:val="clear" w:color="000000" w:fill="F2F2F2"/>
            <w:vAlign w:val="center"/>
            <w:hideMark/>
          </w:tcPr>
          <w:p w14:paraId="229FF537"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10</w:t>
            </w:r>
          </w:p>
        </w:tc>
        <w:tc>
          <w:tcPr>
            <w:tcW w:w="957" w:type="dxa"/>
            <w:tcBorders>
              <w:top w:val="nil"/>
              <w:left w:val="nil"/>
              <w:bottom w:val="single" w:sz="8" w:space="0" w:color="BFBFBF"/>
              <w:right w:val="single" w:sz="8" w:space="0" w:color="BFBFBF"/>
            </w:tcBorders>
            <w:shd w:val="clear" w:color="000000" w:fill="F2F2F2"/>
            <w:vAlign w:val="center"/>
            <w:hideMark/>
          </w:tcPr>
          <w:p w14:paraId="6D8EF800" w14:textId="77777777" w:rsidR="00CA40CC" w:rsidRPr="006C6124" w:rsidRDefault="00CA40CC" w:rsidP="00CA40CC">
            <w:pPr>
              <w:jc w:val="center"/>
              <w:rPr>
                <w:rFonts w:ascii="Calibri" w:eastAsia="Times New Roman" w:hAnsi="Calibri" w:cs="Calibri"/>
                <w:color w:val="000000"/>
              </w:rPr>
            </w:pPr>
            <w:r w:rsidRPr="006C6124">
              <w:rPr>
                <w:rFonts w:ascii="Calibri" w:eastAsia="Times New Roman" w:hAnsi="Calibri" w:cs="Calibri"/>
                <w:color w:val="000000"/>
              </w:rPr>
              <w:t>10</w:t>
            </w:r>
          </w:p>
        </w:tc>
      </w:tr>
    </w:tbl>
    <w:p w14:paraId="7D2B4AF4" w14:textId="77777777" w:rsidR="00CA40CC" w:rsidRPr="006C6124" w:rsidRDefault="00CA40CC" w:rsidP="002E5FFC">
      <w:pPr>
        <w:spacing w:after="5" w:line="250" w:lineRule="auto"/>
        <w:ind w:left="1018" w:right="51" w:hanging="10"/>
        <w:rPr>
          <w:rFonts w:ascii="Calibri" w:eastAsia="Calibri" w:hAnsi="Calibri" w:cs="Calibri"/>
          <w:iCs/>
          <w:color w:val="000000"/>
          <w:lang w:eastAsia="x-none"/>
        </w:rPr>
      </w:pPr>
    </w:p>
    <w:p w14:paraId="39512F2E" w14:textId="48859A7C" w:rsidR="0027032F" w:rsidRPr="006C6124" w:rsidRDefault="00CE57EC" w:rsidP="006C6124">
      <w:pPr>
        <w:spacing w:after="5" w:line="250" w:lineRule="auto"/>
        <w:ind w:left="450" w:right="51"/>
        <w:rPr>
          <w:rFonts w:ascii="Calibri" w:eastAsia="Calibri" w:hAnsi="Calibri" w:cs="Calibri"/>
          <w:iCs/>
          <w:color w:val="000000"/>
          <w:lang w:eastAsia="x-none"/>
        </w:rPr>
      </w:pPr>
      <w:r w:rsidRPr="006C6124">
        <w:rPr>
          <w:rFonts w:ascii="Calibri" w:eastAsia="Calibri" w:hAnsi="Calibri" w:cs="Calibri"/>
          <w:iCs/>
          <w:color w:val="000000"/>
          <w:lang w:eastAsia="x-none"/>
        </w:rPr>
        <w:t xml:space="preserve">The </w:t>
      </w:r>
      <w:r w:rsidR="00F94286" w:rsidRPr="006C6124">
        <w:rPr>
          <w:rFonts w:ascii="Calibri" w:eastAsia="Calibri" w:hAnsi="Calibri" w:cs="Calibri"/>
          <w:iCs/>
          <w:color w:val="000000"/>
          <w:lang w:eastAsia="x-none"/>
        </w:rPr>
        <w:t xml:space="preserve">projected </w:t>
      </w:r>
      <w:r w:rsidRPr="006C6124">
        <w:rPr>
          <w:rFonts w:ascii="Calibri" w:eastAsia="Calibri" w:hAnsi="Calibri" w:cs="Calibri"/>
          <w:iCs/>
          <w:color w:val="000000"/>
          <w:lang w:eastAsia="x-none"/>
        </w:rPr>
        <w:t>number of</w:t>
      </w:r>
      <w:r w:rsidR="00F94286" w:rsidRPr="006C6124">
        <w:rPr>
          <w:rFonts w:ascii="Calibri" w:eastAsia="Calibri" w:hAnsi="Calibri" w:cs="Calibri"/>
          <w:iCs/>
          <w:color w:val="000000"/>
          <w:lang w:eastAsia="x-none"/>
        </w:rPr>
        <w:t xml:space="preserve"> individuals to be served in the 5 years is 920</w:t>
      </w:r>
      <w:r w:rsidR="00843BEC" w:rsidRPr="006C6124">
        <w:rPr>
          <w:rFonts w:ascii="Calibri" w:eastAsia="Calibri" w:hAnsi="Calibri" w:cs="Calibri"/>
          <w:iCs/>
          <w:color w:val="000000"/>
          <w:lang w:eastAsia="x-none"/>
        </w:rPr>
        <w:t xml:space="preserve"> which would account for approximately </w:t>
      </w:r>
      <w:r w:rsidR="004A5ADB" w:rsidRPr="006C6124">
        <w:rPr>
          <w:rFonts w:ascii="Calibri" w:eastAsia="Calibri" w:hAnsi="Calibri" w:cs="Calibri"/>
          <w:iCs/>
          <w:color w:val="000000"/>
          <w:lang w:eastAsia="x-none"/>
        </w:rPr>
        <w:t>a 10</w:t>
      </w:r>
      <w:r w:rsidR="00FC4352" w:rsidRPr="006C6124">
        <w:rPr>
          <w:rFonts w:ascii="Calibri" w:eastAsia="Calibri" w:hAnsi="Calibri" w:cs="Calibri"/>
          <w:iCs/>
          <w:color w:val="000000"/>
          <w:lang w:eastAsia="x-none"/>
        </w:rPr>
        <w:t xml:space="preserve">% </w:t>
      </w:r>
      <w:r w:rsidR="004A5ADB" w:rsidRPr="006C6124">
        <w:rPr>
          <w:rFonts w:ascii="Calibri" w:eastAsia="Calibri" w:hAnsi="Calibri" w:cs="Calibri"/>
          <w:iCs/>
          <w:color w:val="000000"/>
          <w:lang w:eastAsia="x-none"/>
        </w:rPr>
        <w:t>–</w:t>
      </w:r>
      <w:r w:rsidR="00FC4352" w:rsidRPr="006C6124">
        <w:rPr>
          <w:rFonts w:ascii="Calibri" w:eastAsia="Calibri" w:hAnsi="Calibri" w:cs="Calibri"/>
          <w:iCs/>
          <w:color w:val="000000"/>
          <w:lang w:eastAsia="x-none"/>
        </w:rPr>
        <w:t xml:space="preserve"> </w:t>
      </w:r>
      <w:r w:rsidR="004A5ADB" w:rsidRPr="006C6124">
        <w:rPr>
          <w:rFonts w:ascii="Calibri" w:eastAsia="Calibri" w:hAnsi="Calibri" w:cs="Calibri"/>
          <w:iCs/>
          <w:color w:val="000000"/>
          <w:lang w:eastAsia="x-none"/>
        </w:rPr>
        <w:t>20% increase each year</w:t>
      </w:r>
      <w:r w:rsidR="00FC4352" w:rsidRPr="006C6124">
        <w:rPr>
          <w:rFonts w:ascii="Calibri" w:eastAsia="Calibri" w:hAnsi="Calibri" w:cs="Calibri"/>
          <w:iCs/>
          <w:color w:val="000000"/>
          <w:lang w:eastAsia="x-none"/>
        </w:rPr>
        <w:t>,</w:t>
      </w:r>
      <w:r w:rsidR="004A5ADB" w:rsidRPr="006C6124">
        <w:rPr>
          <w:rFonts w:ascii="Calibri" w:eastAsia="Calibri" w:hAnsi="Calibri" w:cs="Calibri"/>
          <w:iCs/>
          <w:color w:val="000000"/>
          <w:lang w:eastAsia="x-none"/>
        </w:rPr>
        <w:t xml:space="preserve"> </w:t>
      </w:r>
      <w:r w:rsidR="004D5D66" w:rsidRPr="006C6124">
        <w:rPr>
          <w:rFonts w:ascii="Calibri" w:eastAsia="Calibri" w:hAnsi="Calibri" w:cs="Calibri"/>
          <w:iCs/>
          <w:color w:val="000000"/>
          <w:lang w:eastAsia="x-none"/>
        </w:rPr>
        <w:t>keeping consistent with the previous years</w:t>
      </w:r>
      <w:r w:rsidR="00F94286" w:rsidRPr="006C6124">
        <w:rPr>
          <w:rFonts w:ascii="Calibri" w:eastAsia="Calibri" w:hAnsi="Calibri" w:cs="Calibri"/>
          <w:iCs/>
          <w:color w:val="000000"/>
          <w:lang w:eastAsia="x-none"/>
        </w:rPr>
        <w:t xml:space="preserve">. </w:t>
      </w:r>
      <w:r w:rsidR="00C2118B" w:rsidRPr="006C6124">
        <w:rPr>
          <w:rFonts w:ascii="Calibri" w:eastAsia="Calibri" w:hAnsi="Calibri" w:cs="Calibri"/>
          <w:iCs/>
          <w:color w:val="000000"/>
          <w:lang w:eastAsia="x-none"/>
        </w:rPr>
        <w:t xml:space="preserve">This would put </w:t>
      </w:r>
      <w:r w:rsidR="0017270B" w:rsidRPr="006C6124">
        <w:rPr>
          <w:rFonts w:ascii="Calibri" w:eastAsia="Calibri" w:hAnsi="Calibri" w:cs="Calibri"/>
          <w:iCs/>
          <w:color w:val="000000"/>
          <w:lang w:eastAsia="x-none"/>
        </w:rPr>
        <w:t xml:space="preserve">SSB beyond the 913 </w:t>
      </w:r>
      <w:r w:rsidR="007E1D63" w:rsidRPr="006C6124">
        <w:rPr>
          <w:rFonts w:ascii="Calibri" w:eastAsia="Calibri" w:hAnsi="Calibri" w:cs="Calibri"/>
          <w:iCs/>
          <w:color w:val="000000"/>
          <w:lang w:eastAsia="x-none"/>
        </w:rPr>
        <w:t xml:space="preserve">that was seen in 2018 </w:t>
      </w:r>
      <w:r w:rsidR="00D1444C" w:rsidRPr="006C6124">
        <w:rPr>
          <w:rFonts w:ascii="Calibri" w:eastAsia="Calibri" w:hAnsi="Calibri" w:cs="Calibri"/>
          <w:iCs/>
          <w:color w:val="000000"/>
          <w:lang w:eastAsia="x-none"/>
        </w:rPr>
        <w:t>and</w:t>
      </w:r>
      <w:r w:rsidR="007E1D63" w:rsidRPr="006C6124">
        <w:rPr>
          <w:rFonts w:ascii="Calibri" w:eastAsia="Calibri" w:hAnsi="Calibri" w:cs="Calibri"/>
          <w:iCs/>
          <w:color w:val="000000"/>
          <w:lang w:eastAsia="x-none"/>
        </w:rPr>
        <w:t xml:space="preserve"> </w:t>
      </w:r>
      <w:r w:rsidR="00343555" w:rsidRPr="006C6124">
        <w:rPr>
          <w:rFonts w:ascii="Calibri" w:eastAsia="Calibri" w:hAnsi="Calibri" w:cs="Calibri"/>
          <w:iCs/>
          <w:color w:val="000000"/>
          <w:lang w:eastAsia="x-none"/>
        </w:rPr>
        <w:t xml:space="preserve">is in line with the SSB Evolve: VR Initiate and outreach efforts. </w:t>
      </w:r>
      <w:r w:rsidR="00E54D56" w:rsidRPr="006C6124">
        <w:rPr>
          <w:rFonts w:ascii="Calibri" w:eastAsia="Calibri" w:hAnsi="Calibri" w:cs="Calibri"/>
          <w:iCs/>
          <w:color w:val="000000"/>
          <w:lang w:eastAsia="x-none"/>
        </w:rPr>
        <w:t xml:space="preserve">The current number of open cases at any given time </w:t>
      </w:r>
      <w:r w:rsidR="00026EA8" w:rsidRPr="006C6124">
        <w:rPr>
          <w:rFonts w:ascii="Calibri" w:eastAsia="Calibri" w:hAnsi="Calibri" w:cs="Calibri"/>
          <w:iCs/>
          <w:color w:val="000000"/>
          <w:lang w:eastAsia="x-none"/>
        </w:rPr>
        <w:t>ranges between 675-690</w:t>
      </w:r>
      <w:r w:rsidR="00B91A1B" w:rsidRPr="006C6124">
        <w:rPr>
          <w:rFonts w:ascii="Calibri" w:eastAsia="Calibri" w:hAnsi="Calibri" w:cs="Calibri"/>
          <w:iCs/>
          <w:color w:val="000000"/>
          <w:lang w:eastAsia="x-none"/>
        </w:rPr>
        <w:t xml:space="preserve">. SSB saw a decrease in </w:t>
      </w:r>
      <w:r w:rsidR="00CE3163" w:rsidRPr="006C6124">
        <w:rPr>
          <w:rFonts w:ascii="Calibri" w:eastAsia="Calibri" w:hAnsi="Calibri" w:cs="Calibri"/>
          <w:iCs/>
          <w:color w:val="000000"/>
          <w:lang w:eastAsia="x-none"/>
        </w:rPr>
        <w:t xml:space="preserve">the </w:t>
      </w:r>
      <w:r w:rsidR="000070E2" w:rsidRPr="006C6124">
        <w:rPr>
          <w:rFonts w:ascii="Calibri" w:eastAsia="Calibri" w:hAnsi="Calibri" w:cs="Calibri"/>
          <w:iCs/>
          <w:color w:val="000000"/>
          <w:lang w:eastAsia="x-none"/>
        </w:rPr>
        <w:t>number</w:t>
      </w:r>
      <w:r w:rsidR="00BB20B5" w:rsidRPr="006C6124">
        <w:rPr>
          <w:rFonts w:ascii="Calibri" w:eastAsia="Calibri" w:hAnsi="Calibri" w:cs="Calibri"/>
          <w:iCs/>
          <w:color w:val="000000"/>
          <w:lang w:eastAsia="x-none"/>
        </w:rPr>
        <w:t>s</w:t>
      </w:r>
      <w:r w:rsidR="00F903CE" w:rsidRPr="006C6124">
        <w:rPr>
          <w:rFonts w:ascii="Calibri" w:eastAsia="Calibri" w:hAnsi="Calibri" w:cs="Calibri"/>
          <w:iCs/>
          <w:color w:val="000000"/>
          <w:lang w:eastAsia="x-none"/>
        </w:rPr>
        <w:t xml:space="preserve"> of </w:t>
      </w:r>
      <w:r w:rsidR="007B7942" w:rsidRPr="006C6124">
        <w:rPr>
          <w:rFonts w:ascii="Calibri" w:eastAsia="Calibri" w:hAnsi="Calibri" w:cs="Calibri"/>
          <w:iCs/>
          <w:color w:val="000000"/>
          <w:lang w:eastAsia="x-none"/>
        </w:rPr>
        <w:t>customers determine</w:t>
      </w:r>
      <w:r w:rsidR="00AA0428" w:rsidRPr="006C6124">
        <w:rPr>
          <w:rFonts w:ascii="Calibri" w:eastAsia="Calibri" w:hAnsi="Calibri" w:cs="Calibri"/>
          <w:iCs/>
          <w:color w:val="000000"/>
          <w:lang w:eastAsia="x-none"/>
        </w:rPr>
        <w:t>d</w:t>
      </w:r>
      <w:r w:rsidR="007B7942" w:rsidRPr="006C6124">
        <w:rPr>
          <w:rFonts w:ascii="Calibri" w:eastAsia="Calibri" w:hAnsi="Calibri" w:cs="Calibri"/>
          <w:iCs/>
          <w:color w:val="000000"/>
          <w:lang w:eastAsia="x-none"/>
        </w:rPr>
        <w:t xml:space="preserve"> eligible and served </w:t>
      </w:r>
      <w:r w:rsidR="000070E2" w:rsidRPr="006C6124">
        <w:rPr>
          <w:rFonts w:ascii="Calibri" w:eastAsia="Calibri" w:hAnsi="Calibri" w:cs="Calibri"/>
          <w:iCs/>
          <w:color w:val="000000"/>
          <w:lang w:eastAsia="x-none"/>
        </w:rPr>
        <w:t>between 2018 and 2021</w:t>
      </w:r>
      <w:r w:rsidR="00D22238" w:rsidRPr="006C6124">
        <w:rPr>
          <w:rFonts w:ascii="Calibri" w:eastAsia="Calibri" w:hAnsi="Calibri" w:cs="Calibri"/>
          <w:iCs/>
          <w:color w:val="000000"/>
          <w:lang w:eastAsia="x-none"/>
        </w:rPr>
        <w:t xml:space="preserve"> due to the </w:t>
      </w:r>
      <w:r w:rsidR="00950E23" w:rsidRPr="006C6124">
        <w:rPr>
          <w:rFonts w:ascii="Calibri" w:eastAsia="Calibri" w:hAnsi="Calibri" w:cs="Calibri"/>
          <w:iCs/>
          <w:color w:val="000000"/>
          <w:lang w:eastAsia="x-none"/>
        </w:rPr>
        <w:t>COVID-19 Pandemic</w:t>
      </w:r>
      <w:r w:rsidR="00EB1344" w:rsidRPr="006C6124">
        <w:rPr>
          <w:rFonts w:ascii="Calibri" w:eastAsia="Calibri" w:hAnsi="Calibri" w:cs="Calibri"/>
          <w:iCs/>
          <w:color w:val="000000"/>
          <w:lang w:eastAsia="x-none"/>
        </w:rPr>
        <w:t xml:space="preserve">, </w:t>
      </w:r>
      <w:r w:rsidR="00C54ACB" w:rsidRPr="006C6124">
        <w:rPr>
          <w:rFonts w:ascii="Calibri" w:eastAsia="Calibri" w:hAnsi="Calibri" w:cs="Calibri"/>
          <w:iCs/>
          <w:color w:val="000000"/>
          <w:lang w:eastAsia="x-none"/>
        </w:rPr>
        <w:t xml:space="preserve">then </w:t>
      </w:r>
      <w:r w:rsidR="00EB1344" w:rsidRPr="006C6124">
        <w:rPr>
          <w:rFonts w:ascii="Calibri" w:eastAsia="Calibri" w:hAnsi="Calibri" w:cs="Calibri"/>
          <w:iCs/>
          <w:color w:val="000000"/>
          <w:lang w:eastAsia="x-none"/>
        </w:rPr>
        <w:t xml:space="preserve">started to see a gradual increase </w:t>
      </w:r>
      <w:r w:rsidR="009B6A0D">
        <w:rPr>
          <w:rFonts w:ascii="Calibri" w:eastAsia="Calibri" w:hAnsi="Calibri" w:cs="Calibri"/>
          <w:iCs/>
          <w:color w:val="000000"/>
          <w:lang w:eastAsia="x-none"/>
        </w:rPr>
        <w:t>beginning</w:t>
      </w:r>
      <w:r w:rsidR="00D75D02">
        <w:rPr>
          <w:rFonts w:ascii="Calibri" w:eastAsia="Calibri" w:hAnsi="Calibri" w:cs="Calibri"/>
          <w:iCs/>
          <w:color w:val="000000"/>
          <w:lang w:eastAsia="x-none"/>
        </w:rPr>
        <w:t xml:space="preserve"> in</w:t>
      </w:r>
      <w:r w:rsidR="009B6A0D" w:rsidRPr="006C6124">
        <w:rPr>
          <w:rFonts w:ascii="Calibri" w:eastAsia="Calibri" w:hAnsi="Calibri" w:cs="Calibri"/>
          <w:iCs/>
          <w:color w:val="000000"/>
          <w:lang w:eastAsia="x-none"/>
        </w:rPr>
        <w:t xml:space="preserve"> </w:t>
      </w:r>
      <w:r w:rsidR="00EB1344" w:rsidRPr="006C6124">
        <w:rPr>
          <w:rFonts w:ascii="Calibri" w:eastAsia="Calibri" w:hAnsi="Calibri" w:cs="Calibri"/>
          <w:iCs/>
          <w:color w:val="000000"/>
          <w:lang w:eastAsia="x-none"/>
        </w:rPr>
        <w:t>2021</w:t>
      </w:r>
      <w:r w:rsidR="00BB20B5" w:rsidRPr="006C6124">
        <w:rPr>
          <w:rFonts w:ascii="Calibri" w:eastAsia="Calibri" w:hAnsi="Calibri" w:cs="Calibri"/>
          <w:iCs/>
          <w:color w:val="000000"/>
          <w:lang w:eastAsia="x-none"/>
        </w:rPr>
        <w:t xml:space="preserve">. SSB is now back to </w:t>
      </w:r>
      <w:r w:rsidR="00F52DBB" w:rsidRPr="006C6124">
        <w:rPr>
          <w:rFonts w:ascii="Calibri" w:eastAsia="Calibri" w:hAnsi="Calibri" w:cs="Calibri"/>
          <w:iCs/>
          <w:color w:val="000000"/>
          <w:lang w:eastAsia="x-none"/>
        </w:rPr>
        <w:t xml:space="preserve">pre-pandemic levels of customers eligible per year </w:t>
      </w:r>
      <w:r w:rsidR="00D75D02">
        <w:rPr>
          <w:rFonts w:ascii="Calibri" w:eastAsia="Calibri" w:hAnsi="Calibri" w:cs="Calibri"/>
          <w:iCs/>
          <w:color w:val="000000"/>
          <w:lang w:eastAsia="x-none"/>
        </w:rPr>
        <w:t xml:space="preserve">and </w:t>
      </w:r>
      <w:r w:rsidR="00F52DBB" w:rsidRPr="006C6124">
        <w:rPr>
          <w:rFonts w:ascii="Calibri" w:eastAsia="Calibri" w:hAnsi="Calibri" w:cs="Calibri"/>
          <w:iCs/>
          <w:color w:val="000000"/>
          <w:lang w:eastAsia="x-none"/>
        </w:rPr>
        <w:t xml:space="preserve">approaching </w:t>
      </w:r>
      <w:r w:rsidR="00D22238" w:rsidRPr="006C6124">
        <w:rPr>
          <w:rFonts w:ascii="Calibri" w:eastAsia="Calibri" w:hAnsi="Calibri" w:cs="Calibri"/>
          <w:iCs/>
          <w:color w:val="000000"/>
          <w:lang w:eastAsia="x-none"/>
        </w:rPr>
        <w:t xml:space="preserve">pre-pandemic numbers of customers served per year. </w:t>
      </w:r>
      <w:r w:rsidR="00F100FF" w:rsidRPr="006C6124">
        <w:rPr>
          <w:rFonts w:ascii="Calibri" w:eastAsia="Calibri" w:hAnsi="Calibri" w:cs="Calibri"/>
          <w:iCs/>
          <w:color w:val="000000"/>
          <w:lang w:eastAsia="x-none"/>
        </w:rPr>
        <w:t>SSB does not serve a large number of Pre-ETS potentially eligible</w:t>
      </w:r>
      <w:r w:rsidR="002833A4" w:rsidRPr="006C6124">
        <w:rPr>
          <w:rFonts w:ascii="Calibri" w:eastAsia="Calibri" w:hAnsi="Calibri" w:cs="Calibri"/>
          <w:iCs/>
          <w:color w:val="000000"/>
          <w:lang w:eastAsia="x-none"/>
        </w:rPr>
        <w:t xml:space="preserve"> individuals per year</w:t>
      </w:r>
      <w:r w:rsidR="004373CF" w:rsidRPr="006C6124">
        <w:rPr>
          <w:rFonts w:ascii="Calibri" w:eastAsia="Calibri" w:hAnsi="Calibri" w:cs="Calibri"/>
          <w:iCs/>
          <w:color w:val="000000"/>
          <w:lang w:eastAsia="x-none"/>
        </w:rPr>
        <w:t xml:space="preserve"> </w:t>
      </w:r>
      <w:r w:rsidR="00C2118B" w:rsidRPr="006C6124">
        <w:rPr>
          <w:rFonts w:ascii="Calibri" w:eastAsia="Calibri" w:hAnsi="Calibri" w:cs="Calibri"/>
          <w:iCs/>
          <w:color w:val="000000"/>
          <w:lang w:eastAsia="x-none"/>
        </w:rPr>
        <w:t xml:space="preserve">with a </w:t>
      </w:r>
      <w:r w:rsidR="004373CF" w:rsidRPr="006C6124">
        <w:rPr>
          <w:rFonts w:ascii="Calibri" w:eastAsia="Calibri" w:hAnsi="Calibri" w:cs="Calibri"/>
          <w:iCs/>
          <w:color w:val="000000"/>
          <w:lang w:eastAsia="x-none"/>
        </w:rPr>
        <w:t>current</w:t>
      </w:r>
      <w:r w:rsidR="00C2118B" w:rsidRPr="006C6124">
        <w:rPr>
          <w:rFonts w:ascii="Calibri" w:eastAsia="Calibri" w:hAnsi="Calibri" w:cs="Calibri"/>
          <w:iCs/>
          <w:color w:val="000000"/>
          <w:lang w:eastAsia="x-none"/>
        </w:rPr>
        <w:t xml:space="preserve"> total of</w:t>
      </w:r>
      <w:r w:rsidR="004373CF" w:rsidRPr="006C6124">
        <w:rPr>
          <w:rFonts w:ascii="Calibri" w:eastAsia="Calibri" w:hAnsi="Calibri" w:cs="Calibri"/>
          <w:iCs/>
          <w:color w:val="000000"/>
          <w:lang w:eastAsia="x-none"/>
        </w:rPr>
        <w:t xml:space="preserve"> </w:t>
      </w:r>
      <w:r w:rsidR="009761FE" w:rsidRPr="006C6124">
        <w:rPr>
          <w:rFonts w:ascii="Calibri" w:eastAsia="Calibri" w:hAnsi="Calibri" w:cs="Calibri"/>
          <w:iCs/>
          <w:color w:val="000000"/>
          <w:lang w:eastAsia="x-none"/>
        </w:rPr>
        <w:t xml:space="preserve">4. </w:t>
      </w:r>
    </w:p>
    <w:p w14:paraId="5EAE3A04" w14:textId="77777777" w:rsidR="0027032F" w:rsidRPr="006C6124" w:rsidRDefault="0027032F" w:rsidP="006C6124">
      <w:pPr>
        <w:spacing w:after="5" w:line="250" w:lineRule="auto"/>
        <w:ind w:left="450" w:right="51" w:firstLine="558"/>
        <w:rPr>
          <w:rFonts w:ascii="Calibri" w:eastAsia="Calibri" w:hAnsi="Calibri" w:cs="Calibri"/>
          <w:iCs/>
          <w:color w:val="000000"/>
          <w:lang w:eastAsia="x-none"/>
        </w:rPr>
      </w:pPr>
    </w:p>
    <w:p w14:paraId="3F95AF4B" w14:textId="77777777" w:rsidR="00D0706C" w:rsidRPr="006C6124" w:rsidRDefault="00D0706C">
      <w:pPr>
        <w:numPr>
          <w:ilvl w:val="0"/>
          <w:numId w:val="22"/>
        </w:numPr>
        <w:spacing w:after="160" w:line="259" w:lineRule="auto"/>
        <w:ind w:right="51"/>
        <w:contextualSpacing/>
        <w:rPr>
          <w:rFonts w:ascii="Calibri" w:eastAsia="Calibri" w:hAnsi="Calibri" w:cs="Calibri"/>
          <w:color w:val="000000"/>
          <w:lang w:val="x-none" w:eastAsia="x-none"/>
        </w:rPr>
      </w:pPr>
      <w:r w:rsidRPr="006C6124">
        <w:rPr>
          <w:rFonts w:ascii="Calibri" w:eastAsia="Calibri" w:hAnsi="Calibri" w:cs="Calibri"/>
          <w:color w:val="000000"/>
          <w:lang w:eastAsia="x-none"/>
        </w:rPr>
        <w:t>Data</w:t>
      </w:r>
      <w:r w:rsidRPr="006C6124">
        <w:rPr>
          <w:rFonts w:ascii="Calibri" w:eastAsia="Calibri" w:hAnsi="Calibri" w:cs="Calibri"/>
          <w:color w:val="000000"/>
          <w:lang w:val="x-none" w:eastAsia="x-none"/>
        </w:rPr>
        <w:t xml:space="preserve"> </w:t>
      </w:r>
      <w:r w:rsidRPr="006C6124">
        <w:rPr>
          <w:rFonts w:ascii="Calibri" w:eastAsia="Calibri" w:hAnsi="Calibri" w:cs="Calibri"/>
          <w:color w:val="000000"/>
          <w:lang w:eastAsia="x-none"/>
        </w:rPr>
        <w:t xml:space="preserve">and information </w:t>
      </w:r>
      <w:r w:rsidRPr="006C6124">
        <w:rPr>
          <w:rFonts w:ascii="Calibri" w:eastAsia="Calibri" w:hAnsi="Calibri" w:cs="Calibri"/>
          <w:color w:val="000000"/>
          <w:lang w:val="x-none" w:eastAsia="x-none"/>
        </w:rPr>
        <w:t xml:space="preserve">on personnel </w:t>
      </w:r>
      <w:r w:rsidRPr="006C6124">
        <w:rPr>
          <w:rFonts w:ascii="Calibri" w:eastAsia="Calibri" w:hAnsi="Calibri" w:cs="Calibri"/>
          <w:color w:val="000000"/>
          <w:lang w:eastAsia="x-none"/>
        </w:rPr>
        <w:t xml:space="preserve">preparation and </w:t>
      </w:r>
      <w:r w:rsidRPr="006C6124">
        <w:rPr>
          <w:rFonts w:ascii="Calibri" w:eastAsia="Calibri" w:hAnsi="Calibri" w:cs="Calibri"/>
          <w:color w:val="000000"/>
          <w:lang w:val="x-none" w:eastAsia="x-none"/>
        </w:rPr>
        <w:t>development</w:t>
      </w:r>
      <w:r w:rsidRPr="006C6124">
        <w:rPr>
          <w:rFonts w:ascii="Calibri" w:eastAsia="Calibri" w:hAnsi="Calibri" w:cs="Calibri"/>
          <w:color w:val="000000"/>
          <w:lang w:eastAsia="x-none"/>
        </w:rPr>
        <w:t>, recruitment and retention, and staff development, including the following:</w:t>
      </w:r>
    </w:p>
    <w:p w14:paraId="6C729ED8"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val="x-none" w:eastAsia="x-none"/>
        </w:rPr>
      </w:pPr>
    </w:p>
    <w:p w14:paraId="0444B311" w14:textId="77777777" w:rsidR="00D0706C" w:rsidRPr="006C6124" w:rsidRDefault="00D0706C">
      <w:pPr>
        <w:numPr>
          <w:ilvl w:val="0"/>
          <w:numId w:val="24"/>
        </w:numPr>
        <w:spacing w:after="160" w:line="259" w:lineRule="auto"/>
        <w:ind w:right="51"/>
        <w:contextualSpacing/>
        <w:rPr>
          <w:rFonts w:ascii="Calibri" w:eastAsia="Calibri" w:hAnsi="Calibri" w:cs="Calibri"/>
          <w:color w:val="000000"/>
          <w:lang w:val="x-none" w:eastAsia="x-none"/>
        </w:rPr>
      </w:pPr>
      <w:r w:rsidRPr="006C6124">
        <w:rPr>
          <w:rFonts w:ascii="Calibri" w:eastAsia="Calibri" w:hAnsi="Calibri" w:cs="Calibri"/>
          <w:color w:val="000000"/>
          <w:lang w:eastAsia="x-none"/>
        </w:rPr>
        <w:t xml:space="preserve">A list of the institutions of higher education in the State that are preparing VR professionals, by type of program; </w:t>
      </w:r>
      <w:proofErr w:type="spellStart"/>
      <w:r w:rsidRPr="006C6124">
        <w:rPr>
          <w:rFonts w:ascii="Calibri" w:eastAsia="Calibri" w:hAnsi="Calibri" w:cs="Calibri"/>
          <w:color w:val="000000"/>
          <w:lang w:eastAsia="x-none"/>
        </w:rPr>
        <w:t>t</w:t>
      </w:r>
      <w:r w:rsidRPr="006C6124">
        <w:rPr>
          <w:rFonts w:ascii="Calibri" w:eastAsia="Calibri" w:hAnsi="Calibri" w:cs="Calibri"/>
          <w:color w:val="000000"/>
          <w:lang w:val="x-none" w:eastAsia="x-none"/>
        </w:rPr>
        <w:t>he</w:t>
      </w:r>
      <w:proofErr w:type="spellEnd"/>
      <w:r w:rsidRPr="006C6124">
        <w:rPr>
          <w:rFonts w:ascii="Calibri" w:eastAsia="Calibri" w:hAnsi="Calibri" w:cs="Calibri"/>
          <w:color w:val="000000"/>
          <w:lang w:val="x-none" w:eastAsia="x-none"/>
        </w:rPr>
        <w:t xml:space="preserve"> number of students enrolled at each of those institutions, broken down by type of program; and</w:t>
      </w:r>
      <w:r w:rsidRPr="006C6124">
        <w:rPr>
          <w:rFonts w:ascii="Calibri" w:eastAsia="Calibri" w:hAnsi="Calibri" w:cs="Calibri"/>
          <w:color w:val="000000"/>
          <w:lang w:eastAsia="x-none"/>
        </w:rPr>
        <w:t xml:space="preserve"> </w:t>
      </w:r>
      <w:proofErr w:type="spellStart"/>
      <w:r w:rsidRPr="006C6124">
        <w:rPr>
          <w:rFonts w:ascii="Calibri" w:eastAsia="Calibri" w:hAnsi="Calibri" w:cs="Calibri"/>
          <w:color w:val="000000"/>
          <w:lang w:eastAsia="x-none"/>
        </w:rPr>
        <w:t>t</w:t>
      </w:r>
      <w:r w:rsidRPr="006C6124">
        <w:rPr>
          <w:rFonts w:ascii="Calibri" w:eastAsia="Calibri" w:hAnsi="Calibri" w:cs="Calibri"/>
          <w:color w:val="000000"/>
          <w:lang w:val="x-none" w:eastAsia="x-none"/>
        </w:rPr>
        <w:t>he</w:t>
      </w:r>
      <w:proofErr w:type="spellEnd"/>
      <w:r w:rsidRPr="006C6124">
        <w:rPr>
          <w:rFonts w:ascii="Calibri" w:eastAsia="Calibri" w:hAnsi="Calibri" w:cs="Calibri"/>
          <w:color w:val="000000"/>
          <w:lang w:val="x-none" w:eastAsia="x-none"/>
        </w:rPr>
        <w:t xml:space="preserv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14:paraId="5A964A8C" w14:textId="77777777" w:rsidR="00D0706C" w:rsidRPr="006C6124" w:rsidRDefault="00D0706C" w:rsidP="00D0706C">
      <w:pPr>
        <w:spacing w:after="160" w:line="259" w:lineRule="auto"/>
        <w:ind w:left="792" w:right="51" w:hanging="10"/>
        <w:contextualSpacing/>
        <w:rPr>
          <w:rFonts w:ascii="Calibri" w:eastAsia="Calibri" w:hAnsi="Calibri" w:cs="Calibri"/>
          <w:color w:val="000000"/>
          <w:lang w:val="x-none" w:eastAsia="x-none"/>
        </w:rPr>
      </w:pPr>
    </w:p>
    <w:tbl>
      <w:tblPr>
        <w:tblStyle w:val="TableGrid"/>
        <w:tblW w:w="0" w:type="auto"/>
        <w:tblInd w:w="431" w:type="dxa"/>
        <w:tblLook w:val="04A0" w:firstRow="1" w:lastRow="0" w:firstColumn="1" w:lastColumn="0" w:noHBand="0" w:noVBand="1"/>
      </w:tblPr>
      <w:tblGrid>
        <w:gridCol w:w="2387"/>
        <w:gridCol w:w="2743"/>
        <w:gridCol w:w="1932"/>
        <w:gridCol w:w="2042"/>
      </w:tblGrid>
      <w:tr w:rsidR="00D0706C" w:rsidRPr="006C6124" w14:paraId="37A598BF" w14:textId="77777777" w:rsidTr="00165FD4">
        <w:tc>
          <w:tcPr>
            <w:tcW w:w="2387" w:type="dxa"/>
          </w:tcPr>
          <w:p w14:paraId="52B6BF9D"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Institute of Higher Education</w:t>
            </w:r>
          </w:p>
        </w:tc>
        <w:tc>
          <w:tcPr>
            <w:tcW w:w="2743" w:type="dxa"/>
          </w:tcPr>
          <w:p w14:paraId="47E1D34F"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Type of Program</w:t>
            </w:r>
          </w:p>
        </w:tc>
        <w:tc>
          <w:tcPr>
            <w:tcW w:w="1932" w:type="dxa"/>
          </w:tcPr>
          <w:p w14:paraId="3D745F68"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No. of Students Enrolled</w:t>
            </w:r>
          </w:p>
        </w:tc>
        <w:tc>
          <w:tcPr>
            <w:tcW w:w="2042" w:type="dxa"/>
          </w:tcPr>
          <w:p w14:paraId="347CED3A"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No. of Prior Year Graduates</w:t>
            </w:r>
          </w:p>
        </w:tc>
      </w:tr>
      <w:tr w:rsidR="00D0706C" w:rsidRPr="006C6124" w14:paraId="73EFBE98" w14:textId="77777777">
        <w:tc>
          <w:tcPr>
            <w:tcW w:w="2387" w:type="dxa"/>
          </w:tcPr>
          <w:p w14:paraId="66E1A695" w14:textId="457A4F7A" w:rsidR="00D0706C" w:rsidRPr="006C6124" w:rsidRDefault="00E311AF"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University of WI -Stout</w:t>
            </w:r>
          </w:p>
        </w:tc>
        <w:tc>
          <w:tcPr>
            <w:tcW w:w="2743" w:type="dxa"/>
          </w:tcPr>
          <w:p w14:paraId="79C0A21A" w14:textId="3E0783DC" w:rsidR="00D0706C" w:rsidRPr="006C6124" w:rsidRDefault="00A860D7"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Rehab Counseling</w:t>
            </w:r>
          </w:p>
        </w:tc>
        <w:tc>
          <w:tcPr>
            <w:tcW w:w="1932" w:type="dxa"/>
          </w:tcPr>
          <w:p w14:paraId="6E17C8F0" w14:textId="456EC722" w:rsidR="00D0706C" w:rsidRPr="006C6124" w:rsidRDefault="00A860D7" w:rsidP="008D34A9">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15</w:t>
            </w:r>
          </w:p>
        </w:tc>
        <w:tc>
          <w:tcPr>
            <w:tcW w:w="2042" w:type="dxa"/>
          </w:tcPr>
          <w:p w14:paraId="21848504" w14:textId="5DBE3140" w:rsidR="00D0706C" w:rsidRPr="006C6124" w:rsidRDefault="00A860D7" w:rsidP="008D34A9">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15</w:t>
            </w:r>
          </w:p>
        </w:tc>
      </w:tr>
      <w:tr w:rsidR="00D0706C" w:rsidRPr="006C6124" w14:paraId="44B285F4" w14:textId="77777777">
        <w:tc>
          <w:tcPr>
            <w:tcW w:w="2387" w:type="dxa"/>
          </w:tcPr>
          <w:p w14:paraId="4F6FCCBF" w14:textId="460BE76A" w:rsidR="00D0706C" w:rsidRPr="006C6124" w:rsidRDefault="00614C07"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St. Cloud University</w:t>
            </w:r>
          </w:p>
        </w:tc>
        <w:tc>
          <w:tcPr>
            <w:tcW w:w="2743" w:type="dxa"/>
          </w:tcPr>
          <w:p w14:paraId="0F0E9B39" w14:textId="60A3CE52" w:rsidR="00D0706C" w:rsidRPr="006C6124" w:rsidRDefault="00614C07"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Rehab Cou</w:t>
            </w:r>
            <w:r w:rsidR="009E0538" w:rsidRPr="006C6124">
              <w:rPr>
                <w:rFonts w:ascii="Calibri" w:eastAsia="Calibri" w:hAnsi="Calibri" w:cs="Calibri"/>
                <w:color w:val="000000"/>
                <w:lang w:eastAsia="x-none"/>
              </w:rPr>
              <w:t>n</w:t>
            </w:r>
            <w:r w:rsidRPr="006C6124">
              <w:rPr>
                <w:rFonts w:ascii="Calibri" w:eastAsia="Calibri" w:hAnsi="Calibri" w:cs="Calibri"/>
                <w:color w:val="000000"/>
                <w:lang w:eastAsia="x-none"/>
              </w:rPr>
              <w:t>seling</w:t>
            </w:r>
          </w:p>
        </w:tc>
        <w:tc>
          <w:tcPr>
            <w:tcW w:w="1932" w:type="dxa"/>
          </w:tcPr>
          <w:p w14:paraId="3E659966" w14:textId="5CE4E212" w:rsidR="00D0706C" w:rsidRPr="006C6124" w:rsidRDefault="009E0538" w:rsidP="008D34A9">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21</w:t>
            </w:r>
          </w:p>
        </w:tc>
        <w:tc>
          <w:tcPr>
            <w:tcW w:w="2042" w:type="dxa"/>
          </w:tcPr>
          <w:p w14:paraId="5ABAA0AA" w14:textId="48EA53F6" w:rsidR="00D0706C" w:rsidRPr="006C6124" w:rsidRDefault="009E0538" w:rsidP="008D34A9">
            <w:pPr>
              <w:spacing w:after="5" w:line="250" w:lineRule="auto"/>
              <w:ind w:left="10" w:right="51" w:hanging="10"/>
              <w:jc w:val="center"/>
              <w:rPr>
                <w:rFonts w:ascii="Calibri" w:eastAsia="Calibri" w:hAnsi="Calibri" w:cs="Calibri"/>
                <w:color w:val="000000"/>
                <w:lang w:eastAsia="x-none"/>
              </w:rPr>
            </w:pPr>
            <w:r w:rsidRPr="006C6124">
              <w:rPr>
                <w:rFonts w:ascii="Calibri" w:eastAsia="Calibri" w:hAnsi="Calibri" w:cs="Calibri"/>
                <w:color w:val="000000"/>
                <w:lang w:eastAsia="x-none"/>
              </w:rPr>
              <w:t>11</w:t>
            </w:r>
          </w:p>
        </w:tc>
      </w:tr>
    </w:tbl>
    <w:p w14:paraId="2A5F3C4F" w14:textId="3A56AA7C" w:rsidR="002827B8" w:rsidRPr="006C6124" w:rsidRDefault="002827B8" w:rsidP="00852EDC">
      <w:pPr>
        <w:spacing w:after="5" w:line="250" w:lineRule="auto"/>
        <w:ind w:right="51"/>
        <w:rPr>
          <w:rFonts w:ascii="Calibri" w:eastAsia="Calibri" w:hAnsi="Calibri" w:cs="Calibri"/>
          <w:color w:val="000000"/>
          <w:lang w:eastAsia="x-none"/>
        </w:rPr>
      </w:pPr>
    </w:p>
    <w:p w14:paraId="753D2C73" w14:textId="77777777" w:rsidR="002827B8" w:rsidRPr="006C6124" w:rsidRDefault="002827B8" w:rsidP="00D0706C">
      <w:pPr>
        <w:spacing w:after="5" w:line="250" w:lineRule="auto"/>
        <w:ind w:left="10" w:right="51" w:hanging="10"/>
        <w:rPr>
          <w:rFonts w:ascii="Calibri" w:eastAsia="Calibri" w:hAnsi="Calibri" w:cs="Calibri"/>
          <w:color w:val="000000"/>
          <w:lang w:val="x-none" w:eastAsia="x-none"/>
        </w:rPr>
      </w:pPr>
    </w:p>
    <w:p w14:paraId="2D882064" w14:textId="77777777" w:rsidR="00D0706C" w:rsidRPr="006C6124" w:rsidRDefault="00D0706C">
      <w:pPr>
        <w:numPr>
          <w:ilvl w:val="0"/>
          <w:numId w:val="24"/>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The VR agency’s plan for recruitment, preparation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p>
    <w:p w14:paraId="2F013D37" w14:textId="77777777" w:rsidR="00382C9B" w:rsidRPr="006C6124" w:rsidRDefault="00382C9B" w:rsidP="00D0706C">
      <w:pPr>
        <w:spacing w:after="160" w:line="259" w:lineRule="auto"/>
        <w:ind w:left="792" w:right="51" w:hanging="10"/>
        <w:contextualSpacing/>
        <w:rPr>
          <w:rFonts w:ascii="Calibri" w:eastAsia="Cambria" w:hAnsi="Calibri" w:cs="Calibri"/>
          <w:color w:val="000000"/>
        </w:rPr>
      </w:pPr>
    </w:p>
    <w:p w14:paraId="668C9D9E" w14:textId="362B2F65" w:rsidR="00382C9B" w:rsidRPr="006C6124" w:rsidRDefault="00633181" w:rsidP="00633181">
      <w:pPr>
        <w:spacing w:after="120" w:line="259" w:lineRule="auto"/>
        <w:ind w:left="540" w:right="58" w:hanging="180"/>
        <w:rPr>
          <w:rFonts w:ascii="Calibri" w:eastAsia="Cambria" w:hAnsi="Calibri" w:cs="Calibri"/>
          <w:color w:val="000000"/>
        </w:rPr>
      </w:pPr>
      <w:r>
        <w:rPr>
          <w:rFonts w:ascii="Calibri" w:eastAsia="Cambria" w:hAnsi="Calibri" w:cs="Calibri"/>
          <w:color w:val="000000"/>
        </w:rPr>
        <w:t>SSB’s r</w:t>
      </w:r>
      <w:r w:rsidR="00382C9B" w:rsidRPr="006C6124">
        <w:rPr>
          <w:rFonts w:ascii="Calibri" w:eastAsia="Cambria" w:hAnsi="Calibri" w:cs="Calibri"/>
          <w:color w:val="000000"/>
        </w:rPr>
        <w:t>ecruitment and retention strategies include</w:t>
      </w:r>
      <w:r>
        <w:rPr>
          <w:rFonts w:ascii="Calibri" w:eastAsia="Cambria" w:hAnsi="Calibri" w:cs="Calibri"/>
          <w:color w:val="000000"/>
        </w:rPr>
        <w:t xml:space="preserve"> the following</w:t>
      </w:r>
      <w:r w:rsidR="00382C9B" w:rsidRPr="006C6124">
        <w:rPr>
          <w:rFonts w:ascii="Calibri" w:eastAsia="Cambria" w:hAnsi="Calibri" w:cs="Calibri"/>
          <w:color w:val="000000"/>
        </w:rPr>
        <w:t>:</w:t>
      </w:r>
    </w:p>
    <w:p w14:paraId="7E6FFCD8" w14:textId="77777777" w:rsidR="00382C9B" w:rsidRPr="006C6124" w:rsidRDefault="00382C9B">
      <w:pPr>
        <w:numPr>
          <w:ilvl w:val="0"/>
          <w:numId w:val="36"/>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Participating with the CSAVR Performance and Accountability committee to collectively review data, ideas, and best practices.</w:t>
      </w:r>
    </w:p>
    <w:p w14:paraId="2943D7CA" w14:textId="77777777" w:rsidR="00382C9B" w:rsidRPr="006C6124" w:rsidRDefault="00382C9B">
      <w:pPr>
        <w:numPr>
          <w:ilvl w:val="0"/>
          <w:numId w:val="36"/>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Utilizing the findings from the Penn State study “Recruitment and Retention of State Vocational Rehabilitation Counselors: A Mixed Method Analysis” to inform our problem solving.</w:t>
      </w:r>
    </w:p>
    <w:p w14:paraId="2ABA3AD3" w14:textId="5DB2372C" w:rsidR="00382C9B" w:rsidRPr="006C6124" w:rsidRDefault="00382C9B">
      <w:pPr>
        <w:numPr>
          <w:ilvl w:val="0"/>
          <w:numId w:val="36"/>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 xml:space="preserve">Incorporating the strategies built </w:t>
      </w:r>
      <w:r w:rsidR="00B56387">
        <w:rPr>
          <w:rFonts w:ascii="Calibri" w:eastAsia="Cambria" w:hAnsi="Calibri" w:cs="Calibri"/>
          <w:color w:val="000000"/>
        </w:rPr>
        <w:t>into</w:t>
      </w:r>
      <w:r w:rsidRPr="006C6124">
        <w:rPr>
          <w:rFonts w:ascii="Calibri" w:eastAsia="Cambria" w:hAnsi="Calibri" w:cs="Calibri"/>
          <w:color w:val="000000"/>
        </w:rPr>
        <w:t xml:space="preserve"> our Evolve VR project as it relates to personnel which is to:</w:t>
      </w:r>
    </w:p>
    <w:p w14:paraId="456F6D58" w14:textId="79D962A6" w:rsidR="00382C9B" w:rsidRPr="006C6124" w:rsidRDefault="00382C9B">
      <w:pPr>
        <w:numPr>
          <w:ilvl w:val="0"/>
          <w:numId w:val="37"/>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Develop a job vacancy outreach plan including connections with long-term training grant recipients and higher education programs</w:t>
      </w:r>
      <w:r w:rsidR="00CB4698">
        <w:rPr>
          <w:rFonts w:ascii="Calibri" w:eastAsia="Cambria" w:hAnsi="Calibri" w:cs="Calibri"/>
          <w:color w:val="000000"/>
        </w:rPr>
        <w:t>,</w:t>
      </w:r>
    </w:p>
    <w:p w14:paraId="4445C358" w14:textId="3BE87A06" w:rsidR="00C42E12" w:rsidRPr="006C6124" w:rsidRDefault="00C42E12">
      <w:pPr>
        <w:numPr>
          <w:ilvl w:val="0"/>
          <w:numId w:val="37"/>
        </w:numPr>
        <w:spacing w:after="160" w:line="259" w:lineRule="auto"/>
        <w:ind w:right="51"/>
        <w:contextualSpacing/>
        <w:rPr>
          <w:rFonts w:ascii="Calibri" w:eastAsia="Cambria" w:hAnsi="Calibri" w:cs="Calibri"/>
          <w:color w:val="000000"/>
        </w:rPr>
      </w:pPr>
      <w:r>
        <w:rPr>
          <w:rFonts w:ascii="Calibri" w:eastAsia="Cambria" w:hAnsi="Calibri" w:cs="Calibri"/>
          <w:color w:val="000000"/>
        </w:rPr>
        <w:lastRenderedPageBreak/>
        <w:t>Implement hiring and referral bonuses,</w:t>
      </w:r>
    </w:p>
    <w:p w14:paraId="5EC2A7C0" w14:textId="5F4FC2F3" w:rsidR="00382C9B" w:rsidRPr="006C6124" w:rsidRDefault="00382C9B">
      <w:pPr>
        <w:numPr>
          <w:ilvl w:val="0"/>
          <w:numId w:val="37"/>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Establish a formal rehabilitation counselor internship program</w:t>
      </w:r>
      <w:r w:rsidR="00A54575">
        <w:rPr>
          <w:rFonts w:ascii="Calibri" w:eastAsia="Cambria" w:hAnsi="Calibri" w:cs="Calibri"/>
          <w:color w:val="000000"/>
        </w:rPr>
        <w:t>,</w:t>
      </w:r>
    </w:p>
    <w:p w14:paraId="6CAA6855" w14:textId="16B6317B" w:rsidR="00382C9B" w:rsidRPr="006C6124" w:rsidRDefault="00382C9B">
      <w:pPr>
        <w:numPr>
          <w:ilvl w:val="0"/>
          <w:numId w:val="37"/>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Use our department Innovation Lab to work with counselors and their support staff to reimagine the</w:t>
      </w:r>
      <w:r w:rsidR="00A54575">
        <w:rPr>
          <w:rFonts w:ascii="Calibri" w:eastAsia="Cambria" w:hAnsi="Calibri" w:cs="Calibri"/>
          <w:color w:val="000000"/>
        </w:rPr>
        <w:t>ir</w:t>
      </w:r>
      <w:r w:rsidRPr="006C6124">
        <w:rPr>
          <w:rFonts w:ascii="Calibri" w:eastAsia="Cambria" w:hAnsi="Calibri" w:cs="Calibri"/>
          <w:color w:val="000000"/>
        </w:rPr>
        <w:t xml:space="preserve"> roles</w:t>
      </w:r>
      <w:r w:rsidR="00A54575">
        <w:rPr>
          <w:rFonts w:ascii="Calibri" w:eastAsia="Cambria" w:hAnsi="Calibri" w:cs="Calibri"/>
          <w:color w:val="000000"/>
        </w:rPr>
        <w:t>,</w:t>
      </w:r>
    </w:p>
    <w:p w14:paraId="5D10685B" w14:textId="13C428E2" w:rsidR="00E5522B" w:rsidRDefault="00382C9B">
      <w:pPr>
        <w:numPr>
          <w:ilvl w:val="0"/>
          <w:numId w:val="37"/>
        </w:numPr>
        <w:spacing w:after="120" w:line="259" w:lineRule="auto"/>
        <w:ind w:right="58"/>
        <w:rPr>
          <w:rFonts w:ascii="Calibri" w:eastAsia="Cambria" w:hAnsi="Calibri" w:cs="Calibri"/>
          <w:color w:val="000000"/>
        </w:rPr>
      </w:pPr>
      <w:r w:rsidRPr="006C6124">
        <w:rPr>
          <w:rFonts w:ascii="Calibri" w:eastAsia="Cambria" w:hAnsi="Calibri" w:cs="Calibri"/>
          <w:color w:val="000000"/>
        </w:rPr>
        <w:t>Re-evaluate and redesign the organizational structure to ensure we have the right roles with the right responsibilities to meet the needs of customers and the program</w:t>
      </w:r>
      <w:r w:rsidR="000F48E8">
        <w:rPr>
          <w:rFonts w:ascii="Calibri" w:eastAsia="Cambria" w:hAnsi="Calibri" w:cs="Calibri"/>
          <w:color w:val="000000"/>
        </w:rPr>
        <w:t>,</w:t>
      </w:r>
      <w:r w:rsidR="00C42E12">
        <w:rPr>
          <w:rFonts w:ascii="Calibri" w:eastAsia="Cambria" w:hAnsi="Calibri" w:cs="Calibri"/>
          <w:color w:val="000000"/>
        </w:rPr>
        <w:t xml:space="preserve"> and</w:t>
      </w:r>
    </w:p>
    <w:p w14:paraId="6071812F" w14:textId="495B368F" w:rsidR="00382C9B" w:rsidRPr="006C6124" w:rsidRDefault="00E5522B">
      <w:pPr>
        <w:numPr>
          <w:ilvl w:val="0"/>
          <w:numId w:val="37"/>
        </w:numPr>
        <w:spacing w:after="120" w:line="259" w:lineRule="auto"/>
        <w:ind w:right="58"/>
        <w:rPr>
          <w:rFonts w:ascii="Calibri" w:eastAsia="Cambria" w:hAnsi="Calibri" w:cs="Calibri"/>
          <w:color w:val="000000"/>
        </w:rPr>
      </w:pPr>
      <w:r>
        <w:rPr>
          <w:rFonts w:ascii="Calibri" w:eastAsia="Cambria" w:hAnsi="Calibri" w:cs="Calibri"/>
          <w:color w:val="000000"/>
        </w:rPr>
        <w:t xml:space="preserve">Provide tuition reimbursement for </w:t>
      </w:r>
      <w:r w:rsidR="00035F8E">
        <w:rPr>
          <w:rFonts w:ascii="Calibri" w:eastAsia="Cambria" w:hAnsi="Calibri" w:cs="Calibri"/>
          <w:color w:val="000000"/>
        </w:rPr>
        <w:t xml:space="preserve">staff </w:t>
      </w:r>
      <w:r w:rsidR="00C149AE">
        <w:rPr>
          <w:rFonts w:ascii="Calibri" w:eastAsia="Cambria" w:hAnsi="Calibri" w:cs="Calibri"/>
          <w:color w:val="000000"/>
        </w:rPr>
        <w:t>interested in getting their bachelors/</w:t>
      </w:r>
      <w:proofErr w:type="spellStart"/>
      <w:r w:rsidR="00C149AE">
        <w:rPr>
          <w:rFonts w:ascii="Calibri" w:eastAsia="Cambria" w:hAnsi="Calibri" w:cs="Calibri"/>
          <w:color w:val="000000"/>
        </w:rPr>
        <w:t>masters</w:t>
      </w:r>
      <w:proofErr w:type="spellEnd"/>
      <w:r w:rsidR="00C149AE">
        <w:rPr>
          <w:rFonts w:ascii="Calibri" w:eastAsia="Cambria" w:hAnsi="Calibri" w:cs="Calibri"/>
          <w:color w:val="000000"/>
        </w:rPr>
        <w:t xml:space="preserve"> degrees in vocational rehabilitation</w:t>
      </w:r>
      <w:r w:rsidR="00C42E12">
        <w:rPr>
          <w:rFonts w:ascii="Calibri" w:eastAsia="Cambria" w:hAnsi="Calibri" w:cs="Calibri"/>
          <w:color w:val="000000"/>
        </w:rPr>
        <w:t>.</w:t>
      </w:r>
    </w:p>
    <w:p w14:paraId="7D75CF19" w14:textId="77777777" w:rsidR="00382C9B" w:rsidRPr="006C6124" w:rsidRDefault="00382C9B" w:rsidP="009D3E15">
      <w:pPr>
        <w:spacing w:after="120" w:line="259" w:lineRule="auto"/>
        <w:ind w:left="446" w:right="58" w:hanging="86"/>
        <w:rPr>
          <w:rFonts w:ascii="Calibri" w:eastAsia="Cambria" w:hAnsi="Calibri" w:cs="Calibri"/>
          <w:color w:val="000000"/>
        </w:rPr>
      </w:pPr>
      <w:r w:rsidRPr="006C6124">
        <w:rPr>
          <w:rFonts w:ascii="Calibri" w:eastAsia="Cambria" w:hAnsi="Calibri" w:cs="Calibri"/>
          <w:color w:val="000000"/>
        </w:rPr>
        <w:t>The overarching intent with these strategies is to:</w:t>
      </w:r>
    </w:p>
    <w:p w14:paraId="2B96E8EB" w14:textId="155D2DFC" w:rsidR="00382C9B" w:rsidRPr="006C6124" w:rsidRDefault="00382C9B">
      <w:pPr>
        <w:numPr>
          <w:ilvl w:val="0"/>
          <w:numId w:val="38"/>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Foster a program, environment, and culture that talented and qualified professionals seek out and want to work for</w:t>
      </w:r>
      <w:r w:rsidR="00650727">
        <w:rPr>
          <w:rFonts w:ascii="Calibri" w:eastAsia="Cambria" w:hAnsi="Calibri" w:cs="Calibri"/>
          <w:color w:val="000000"/>
        </w:rPr>
        <w:t>,</w:t>
      </w:r>
    </w:p>
    <w:p w14:paraId="57725C81" w14:textId="77777777" w:rsidR="00382C9B" w:rsidRPr="006C6124" w:rsidRDefault="00382C9B">
      <w:pPr>
        <w:numPr>
          <w:ilvl w:val="0"/>
          <w:numId w:val="38"/>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Design an organizational structure that meets the needs of the program and the people we serve, and</w:t>
      </w:r>
    </w:p>
    <w:p w14:paraId="5953B899" w14:textId="32B9C7DB" w:rsidR="00382C9B" w:rsidRPr="006C6124" w:rsidRDefault="00382C9B">
      <w:pPr>
        <w:numPr>
          <w:ilvl w:val="0"/>
          <w:numId w:val="38"/>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Restore the vocational rehabilitation counselor role to be a counselor, not a case manager</w:t>
      </w:r>
      <w:r w:rsidR="00650727">
        <w:rPr>
          <w:rFonts w:ascii="Calibri" w:eastAsia="Cambria" w:hAnsi="Calibri" w:cs="Calibri"/>
          <w:color w:val="000000"/>
        </w:rPr>
        <w:t>.</w:t>
      </w:r>
    </w:p>
    <w:p w14:paraId="2D42DEE4" w14:textId="77777777" w:rsidR="00382C9B" w:rsidRPr="006C6124" w:rsidRDefault="00382C9B" w:rsidP="00D0706C">
      <w:pPr>
        <w:spacing w:after="160" w:line="259" w:lineRule="auto"/>
        <w:ind w:left="792" w:right="51" w:hanging="10"/>
        <w:contextualSpacing/>
        <w:rPr>
          <w:rFonts w:ascii="Calibri" w:eastAsia="Cambria" w:hAnsi="Calibri" w:cs="Calibri"/>
          <w:color w:val="000000"/>
        </w:rPr>
      </w:pPr>
    </w:p>
    <w:p w14:paraId="31AC6CE0" w14:textId="77777777" w:rsidR="00D0706C" w:rsidRPr="006C6124" w:rsidRDefault="00D0706C" w:rsidP="00D0706C">
      <w:pPr>
        <w:spacing w:after="5" w:line="250" w:lineRule="auto"/>
        <w:ind w:left="792" w:right="51" w:hanging="10"/>
        <w:contextualSpacing/>
        <w:rPr>
          <w:rFonts w:ascii="Calibri" w:eastAsia="Cambria" w:hAnsi="Calibri" w:cs="Calibri"/>
          <w:color w:val="000000"/>
        </w:rPr>
      </w:pPr>
    </w:p>
    <w:p w14:paraId="3ED9AE7C" w14:textId="77777777" w:rsidR="00D0706C" w:rsidRPr="006C6124" w:rsidRDefault="00D0706C">
      <w:pPr>
        <w:numPr>
          <w:ilvl w:val="0"/>
          <w:numId w:val="24"/>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Description of staff development policies, procedures, and activities that ensure all personnel employed by the VR agency receive appropriate and adequate training and continuing education for professionals and paraprofessionals:</w:t>
      </w:r>
    </w:p>
    <w:p w14:paraId="40078E1C" w14:textId="77777777" w:rsidR="00D0706C" w:rsidRPr="006C6124" w:rsidRDefault="00D0706C" w:rsidP="00D0706C">
      <w:pPr>
        <w:spacing w:after="160" w:line="259" w:lineRule="auto"/>
        <w:ind w:left="792" w:right="51" w:hanging="10"/>
        <w:contextualSpacing/>
        <w:rPr>
          <w:rFonts w:ascii="Calibri" w:eastAsia="Cambria" w:hAnsi="Calibri" w:cs="Calibri"/>
          <w:color w:val="000000"/>
        </w:rPr>
      </w:pPr>
    </w:p>
    <w:p w14:paraId="7CE39173" w14:textId="77777777" w:rsidR="00D0706C" w:rsidRPr="006C6124" w:rsidRDefault="00D0706C">
      <w:pPr>
        <w:numPr>
          <w:ilvl w:val="0"/>
          <w:numId w:val="25"/>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Particularly with respect to assessment, vocational counseling, job placement, and rehabilitation technology, including training implemented in coordination with entities carrying out State programs under section 4 of the Assistive Technology Act of 1998; and</w:t>
      </w:r>
    </w:p>
    <w:p w14:paraId="414FDB58" w14:textId="77777777" w:rsidR="00D0706C" w:rsidRPr="006C6124" w:rsidRDefault="00D0706C">
      <w:pPr>
        <w:numPr>
          <w:ilvl w:val="0"/>
          <w:numId w:val="25"/>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Procedures for the acquisition and dissemination of significant knowledge from research and other sources to VR agency professionals and paraprofessionals and for providing training regarding the amendments to the Rehabilitation Act made by the Workforce Innovation and Opportunity Act.</w:t>
      </w:r>
    </w:p>
    <w:p w14:paraId="1C9CD549" w14:textId="47AF1927" w:rsidR="004D2EDC" w:rsidRDefault="004D2EDC" w:rsidP="00D0706C">
      <w:pPr>
        <w:spacing w:after="160" w:line="259" w:lineRule="auto"/>
        <w:ind w:left="1530" w:right="51"/>
        <w:contextualSpacing/>
        <w:rPr>
          <w:rFonts w:ascii="Calibri" w:eastAsia="Cambria" w:hAnsi="Calibri" w:cs="Calibri"/>
          <w:color w:val="000000"/>
        </w:rPr>
      </w:pPr>
    </w:p>
    <w:p w14:paraId="383C606C" w14:textId="3AC49824" w:rsidR="00F311B2" w:rsidRDefault="00C37B8B" w:rsidP="00087C12">
      <w:pPr>
        <w:spacing w:after="120"/>
      </w:pPr>
      <w:r w:rsidRPr="00C37B8B">
        <w:t>All WDU staff members new to SSB receive Introduction to Blindness, Visual Impairment, and DeafBlindness —Phase 1 and Phase 2 Training on the essential aspects of blindness and visual impairment within three months of hire. Minnesota statutory language requires all Rehabilitation Counselors to successfully complete a minimum of 6 weeks of intensive training under sleep shades from an adjustment to blindness center. The 6 weeks of training provides classes in all curriculum areas of the training centers. The curriculum includes training in</w:t>
      </w:r>
      <w:r w:rsidR="006046FA">
        <w:t>:</w:t>
      </w:r>
    </w:p>
    <w:p w14:paraId="64FC8270" w14:textId="77777777" w:rsidR="00F311B2" w:rsidRDefault="00C37B8B" w:rsidP="00F311B2">
      <w:pPr>
        <w:pStyle w:val="ListParagraph"/>
        <w:numPr>
          <w:ilvl w:val="0"/>
          <w:numId w:val="77"/>
        </w:numPr>
        <w:spacing w:after="120"/>
      </w:pPr>
      <w:r w:rsidRPr="00C37B8B">
        <w:t xml:space="preserve">Communication Skills including Braille and Assistive Technology Instruction, </w:t>
      </w:r>
    </w:p>
    <w:p w14:paraId="10A5095D" w14:textId="77777777" w:rsidR="00F311B2" w:rsidRDefault="00C37B8B" w:rsidP="00F311B2">
      <w:pPr>
        <w:pStyle w:val="ListParagraph"/>
        <w:numPr>
          <w:ilvl w:val="0"/>
          <w:numId w:val="77"/>
        </w:numPr>
        <w:spacing w:after="120"/>
      </w:pPr>
      <w:r w:rsidRPr="00C37B8B">
        <w:t>Travel Training,</w:t>
      </w:r>
    </w:p>
    <w:p w14:paraId="080B25E1" w14:textId="77777777" w:rsidR="00F311B2" w:rsidRDefault="00C37B8B" w:rsidP="00F311B2">
      <w:pPr>
        <w:pStyle w:val="ListParagraph"/>
        <w:numPr>
          <w:ilvl w:val="0"/>
          <w:numId w:val="77"/>
        </w:numPr>
        <w:spacing w:after="120"/>
      </w:pPr>
      <w:r w:rsidRPr="00C37B8B">
        <w:t xml:space="preserve"> Independent Living Skills, including techniques of daily living and adaptive leisure instruction,</w:t>
      </w:r>
    </w:p>
    <w:p w14:paraId="5F8D337E" w14:textId="230D7592" w:rsidR="00F311B2" w:rsidRDefault="00C37B8B" w:rsidP="00F311B2">
      <w:pPr>
        <w:pStyle w:val="ListParagraph"/>
        <w:numPr>
          <w:ilvl w:val="0"/>
          <w:numId w:val="77"/>
        </w:numPr>
        <w:spacing w:after="120"/>
      </w:pPr>
      <w:r w:rsidRPr="00C37B8B">
        <w:t xml:space="preserve"> Facilitated Structured Group Discussion on topics centering on the impact of blindness on employment, independent </w:t>
      </w:r>
      <w:r w:rsidR="000513B7" w:rsidRPr="00C37B8B">
        <w:t>living,</w:t>
      </w:r>
      <w:r w:rsidRPr="00C37B8B">
        <w:t xml:space="preserve"> and social interactions, and </w:t>
      </w:r>
    </w:p>
    <w:p w14:paraId="3AB319F4" w14:textId="77777777" w:rsidR="00DC07AA" w:rsidRDefault="00C37B8B" w:rsidP="00F311B2">
      <w:pPr>
        <w:pStyle w:val="ListParagraph"/>
        <w:numPr>
          <w:ilvl w:val="0"/>
          <w:numId w:val="77"/>
        </w:numPr>
        <w:spacing w:after="120"/>
      </w:pPr>
      <w:r w:rsidRPr="00C37B8B">
        <w:t xml:space="preserve">Other Optional Training Activities which include achieving a personal goal agreed upon by the participant, their SSB supervisor, and staff of the approved vendor. </w:t>
      </w:r>
    </w:p>
    <w:p w14:paraId="27E4D26C" w14:textId="2929912C" w:rsidR="00C37B8B" w:rsidRPr="00C37B8B" w:rsidRDefault="00C37B8B" w:rsidP="000632B6">
      <w:pPr>
        <w:spacing w:after="120"/>
        <w:ind w:left="405"/>
      </w:pPr>
      <w:r w:rsidRPr="00C37B8B">
        <w:t>An example of the specific curriculum includes:</w:t>
      </w:r>
    </w:p>
    <w:p w14:paraId="10693944" w14:textId="3882B40B" w:rsidR="00C37B8B" w:rsidRPr="00C37B8B" w:rsidRDefault="00C37B8B">
      <w:pPr>
        <w:numPr>
          <w:ilvl w:val="0"/>
          <w:numId w:val="50"/>
        </w:numPr>
        <w:tabs>
          <w:tab w:val="clear" w:pos="720"/>
        </w:tabs>
        <w:ind w:left="360"/>
      </w:pPr>
      <w:r w:rsidRPr="00C37B8B">
        <w:rPr>
          <w:b/>
          <w:bCs/>
        </w:rPr>
        <w:t>Communication Skills</w:t>
      </w:r>
    </w:p>
    <w:p w14:paraId="2FC68E21" w14:textId="77777777" w:rsidR="00C37B8B" w:rsidRPr="00C37B8B" w:rsidRDefault="00C37B8B">
      <w:pPr>
        <w:numPr>
          <w:ilvl w:val="1"/>
          <w:numId w:val="50"/>
        </w:numPr>
        <w:tabs>
          <w:tab w:val="clear" w:pos="1440"/>
          <w:tab w:val="num" w:pos="1080"/>
        </w:tabs>
        <w:ind w:hanging="720"/>
      </w:pPr>
      <w:r w:rsidRPr="00C37B8B">
        <w:t>Fully understanding the importance and use of uncontracted and contracted Unified English Braille.</w:t>
      </w:r>
    </w:p>
    <w:p w14:paraId="02030F3C" w14:textId="77777777" w:rsidR="00087C12" w:rsidRDefault="00C37B8B">
      <w:pPr>
        <w:numPr>
          <w:ilvl w:val="1"/>
          <w:numId w:val="50"/>
        </w:numPr>
        <w:tabs>
          <w:tab w:val="clear" w:pos="1440"/>
          <w:tab w:val="num" w:pos="1080"/>
        </w:tabs>
        <w:ind w:hanging="720"/>
      </w:pPr>
      <w:r w:rsidRPr="00C37B8B">
        <w:t xml:space="preserve">Exposure to the uncontracted Braille alphabet and numbers using a slate and stylus, and orientation to </w:t>
      </w:r>
    </w:p>
    <w:p w14:paraId="6F474E75" w14:textId="7169C6F8" w:rsidR="00C37B8B" w:rsidRPr="00C37B8B" w:rsidRDefault="00C37B8B" w:rsidP="005A7AB4">
      <w:pPr>
        <w:ind w:left="1080"/>
      </w:pPr>
      <w:r w:rsidRPr="00C37B8B">
        <w:t>the</w:t>
      </w:r>
      <w:r w:rsidR="00087C12">
        <w:t xml:space="preserve"> </w:t>
      </w:r>
      <w:r w:rsidRPr="00C37B8B">
        <w:t xml:space="preserve">alphabet with the Perkins </w:t>
      </w:r>
      <w:proofErr w:type="spellStart"/>
      <w:r w:rsidRPr="00C37B8B">
        <w:t>Brailler</w:t>
      </w:r>
      <w:proofErr w:type="spellEnd"/>
      <w:r w:rsidRPr="00C37B8B">
        <w:t>.</w:t>
      </w:r>
    </w:p>
    <w:p w14:paraId="1D99C51F" w14:textId="77777777" w:rsidR="00C37B8B" w:rsidRPr="00C37B8B" w:rsidRDefault="00C37B8B">
      <w:pPr>
        <w:numPr>
          <w:ilvl w:val="1"/>
          <w:numId w:val="50"/>
        </w:numPr>
        <w:tabs>
          <w:tab w:val="clear" w:pos="1440"/>
          <w:tab w:val="num" w:pos="1080"/>
        </w:tabs>
        <w:ind w:hanging="720"/>
      </w:pPr>
      <w:r w:rsidRPr="00C37B8B">
        <w:t>Exposure to using speech output and magnification computer programs and devices.</w:t>
      </w:r>
    </w:p>
    <w:p w14:paraId="2F2BF3A1" w14:textId="77777777" w:rsidR="00C37B8B" w:rsidRPr="00C37B8B" w:rsidRDefault="00C37B8B">
      <w:pPr>
        <w:numPr>
          <w:ilvl w:val="1"/>
          <w:numId w:val="50"/>
        </w:numPr>
        <w:tabs>
          <w:tab w:val="clear" w:pos="1440"/>
          <w:tab w:val="left" w:pos="1080"/>
        </w:tabs>
        <w:ind w:left="1080"/>
      </w:pPr>
      <w:r w:rsidRPr="00C37B8B">
        <w:t>Identify the positives and negatives of various technology packages, what each does, and the functions they carry out, including operating systems, screen readers, magnification, and mobile technology.</w:t>
      </w:r>
    </w:p>
    <w:p w14:paraId="442E3843" w14:textId="77777777" w:rsidR="00C37B8B" w:rsidRPr="00C37B8B" w:rsidRDefault="00C37B8B">
      <w:pPr>
        <w:numPr>
          <w:ilvl w:val="1"/>
          <w:numId w:val="50"/>
        </w:numPr>
        <w:tabs>
          <w:tab w:val="clear" w:pos="1440"/>
          <w:tab w:val="num" w:pos="1080"/>
        </w:tabs>
        <w:ind w:hanging="720"/>
      </w:pPr>
      <w:r w:rsidRPr="00C37B8B">
        <w:t>Identifying and using the Radio Talking Book and National Library Service play back equipment.</w:t>
      </w:r>
    </w:p>
    <w:p w14:paraId="3C3134D6" w14:textId="77777777" w:rsidR="00C37B8B" w:rsidRPr="00C37B8B" w:rsidRDefault="00C37B8B">
      <w:pPr>
        <w:numPr>
          <w:ilvl w:val="1"/>
          <w:numId w:val="50"/>
        </w:numPr>
        <w:tabs>
          <w:tab w:val="clear" w:pos="1440"/>
          <w:tab w:val="num" w:pos="1080"/>
        </w:tabs>
        <w:ind w:hanging="720"/>
      </w:pPr>
      <w:r w:rsidRPr="00C37B8B">
        <w:t>Exposure to alternative methods of communication for DeafBlind individuals.</w:t>
      </w:r>
    </w:p>
    <w:p w14:paraId="46C4CF0E" w14:textId="7D867697" w:rsidR="00C37B8B" w:rsidRPr="00C37B8B" w:rsidRDefault="00C37B8B">
      <w:pPr>
        <w:numPr>
          <w:ilvl w:val="0"/>
          <w:numId w:val="50"/>
        </w:numPr>
        <w:tabs>
          <w:tab w:val="clear" w:pos="720"/>
          <w:tab w:val="num" w:pos="360"/>
        </w:tabs>
        <w:ind w:hanging="720"/>
      </w:pPr>
      <w:r w:rsidRPr="00C37B8B">
        <w:rPr>
          <w:b/>
          <w:bCs/>
        </w:rPr>
        <w:lastRenderedPageBreak/>
        <w:t>Travel Training</w:t>
      </w:r>
    </w:p>
    <w:p w14:paraId="074839B6" w14:textId="77777777" w:rsidR="00C37B8B" w:rsidRPr="00C37B8B" w:rsidRDefault="00C37B8B">
      <w:pPr>
        <w:numPr>
          <w:ilvl w:val="1"/>
          <w:numId w:val="50"/>
        </w:numPr>
        <w:tabs>
          <w:tab w:val="clear" w:pos="1440"/>
          <w:tab w:val="num" w:pos="1080"/>
        </w:tabs>
        <w:ind w:hanging="720"/>
      </w:pPr>
      <w:r w:rsidRPr="00C37B8B">
        <w:t>Understanding the importance and use of the long white cane.</w:t>
      </w:r>
    </w:p>
    <w:p w14:paraId="78DAA4A0" w14:textId="77777777" w:rsidR="00C37B8B" w:rsidRPr="00C37B8B" w:rsidRDefault="00C37B8B">
      <w:pPr>
        <w:numPr>
          <w:ilvl w:val="1"/>
          <w:numId w:val="50"/>
        </w:numPr>
        <w:tabs>
          <w:tab w:val="clear" w:pos="1440"/>
          <w:tab w:val="num" w:pos="1080"/>
        </w:tabs>
        <w:ind w:left="1080"/>
      </w:pPr>
      <w:r w:rsidRPr="00C37B8B">
        <w:t>Traveling without assistance using the long white cane in familiar areas, including crossing controlled and uncontrolled intersections.</w:t>
      </w:r>
    </w:p>
    <w:p w14:paraId="76EA8017" w14:textId="77777777" w:rsidR="00C37B8B" w:rsidRPr="00C37B8B" w:rsidRDefault="00C37B8B">
      <w:pPr>
        <w:numPr>
          <w:ilvl w:val="1"/>
          <w:numId w:val="50"/>
        </w:numPr>
        <w:tabs>
          <w:tab w:val="clear" w:pos="1440"/>
          <w:tab w:val="num" w:pos="1080"/>
        </w:tabs>
        <w:ind w:hanging="720"/>
      </w:pPr>
      <w:r w:rsidRPr="00C37B8B">
        <w:t>Using public bus and train transit, if available in the community.</w:t>
      </w:r>
    </w:p>
    <w:p w14:paraId="1D40D6D6" w14:textId="77777777" w:rsidR="00C37B8B" w:rsidRPr="00C37B8B" w:rsidRDefault="00C37B8B">
      <w:pPr>
        <w:numPr>
          <w:ilvl w:val="1"/>
          <w:numId w:val="50"/>
        </w:numPr>
        <w:tabs>
          <w:tab w:val="clear" w:pos="1440"/>
          <w:tab w:val="num" w:pos="1080"/>
        </w:tabs>
        <w:ind w:hanging="720"/>
      </w:pPr>
      <w:r w:rsidRPr="00C37B8B">
        <w:t>DeafBlind traveling techniques.</w:t>
      </w:r>
    </w:p>
    <w:p w14:paraId="5B7E998C" w14:textId="1E7D5570" w:rsidR="00C37B8B" w:rsidRPr="00C37B8B" w:rsidRDefault="00C37B8B">
      <w:pPr>
        <w:numPr>
          <w:ilvl w:val="0"/>
          <w:numId w:val="50"/>
        </w:numPr>
        <w:tabs>
          <w:tab w:val="clear" w:pos="720"/>
          <w:tab w:val="num" w:pos="360"/>
        </w:tabs>
        <w:ind w:hanging="720"/>
      </w:pPr>
      <w:r w:rsidRPr="00C37B8B">
        <w:rPr>
          <w:b/>
          <w:bCs/>
        </w:rPr>
        <w:t>Independent Living Skills</w:t>
      </w:r>
    </w:p>
    <w:p w14:paraId="22D5667B" w14:textId="77777777" w:rsidR="00C37B8B" w:rsidRPr="00C37B8B" w:rsidRDefault="00C37B8B">
      <w:pPr>
        <w:numPr>
          <w:ilvl w:val="1"/>
          <w:numId w:val="50"/>
        </w:numPr>
        <w:tabs>
          <w:tab w:val="clear" w:pos="1440"/>
          <w:tab w:val="num" w:pos="1080"/>
        </w:tabs>
        <w:ind w:hanging="720"/>
      </w:pPr>
      <w:r w:rsidRPr="00C37B8B">
        <w:t>Independently place telephone calls.</w:t>
      </w:r>
    </w:p>
    <w:p w14:paraId="6FC92F42" w14:textId="77777777" w:rsidR="00C37B8B" w:rsidRPr="00C37B8B" w:rsidRDefault="00C37B8B">
      <w:pPr>
        <w:numPr>
          <w:ilvl w:val="1"/>
          <w:numId w:val="50"/>
        </w:numPr>
        <w:tabs>
          <w:tab w:val="clear" w:pos="1440"/>
          <w:tab w:val="num" w:pos="1080"/>
        </w:tabs>
        <w:ind w:hanging="720"/>
      </w:pPr>
      <w:r w:rsidRPr="00C37B8B">
        <w:t>Using measurement tools and hand and power tools to construct a simple wooden item.</w:t>
      </w:r>
    </w:p>
    <w:p w14:paraId="1426E81F" w14:textId="77777777" w:rsidR="00C37B8B" w:rsidRPr="00C37B8B" w:rsidRDefault="00C37B8B">
      <w:pPr>
        <w:numPr>
          <w:ilvl w:val="1"/>
          <w:numId w:val="50"/>
        </w:numPr>
        <w:tabs>
          <w:tab w:val="clear" w:pos="1440"/>
          <w:tab w:val="num" w:pos="1080"/>
        </w:tabs>
        <w:ind w:hanging="720"/>
      </w:pPr>
      <w:r w:rsidRPr="00C37B8B">
        <w:t>Cleaning techniques which can include sweeping, cleaning furniture, vacuuming, etc.</w:t>
      </w:r>
    </w:p>
    <w:p w14:paraId="33A3AB87" w14:textId="77777777" w:rsidR="00C37B8B" w:rsidRPr="00C37B8B" w:rsidRDefault="00C37B8B">
      <w:pPr>
        <w:numPr>
          <w:ilvl w:val="1"/>
          <w:numId w:val="50"/>
        </w:numPr>
        <w:tabs>
          <w:tab w:val="clear" w:pos="1440"/>
          <w:tab w:val="num" w:pos="1080"/>
        </w:tabs>
        <w:ind w:hanging="720"/>
      </w:pPr>
      <w:r w:rsidRPr="00C37B8B">
        <w:t>Telling time using non-sighted techniques (e.g., Braille watch, talking watch).</w:t>
      </w:r>
    </w:p>
    <w:p w14:paraId="28F831B6" w14:textId="77777777" w:rsidR="00C37B8B" w:rsidRPr="00C37B8B" w:rsidRDefault="00C37B8B">
      <w:pPr>
        <w:numPr>
          <w:ilvl w:val="1"/>
          <w:numId w:val="50"/>
        </w:numPr>
        <w:tabs>
          <w:tab w:val="clear" w:pos="1440"/>
          <w:tab w:val="num" w:pos="1080"/>
        </w:tabs>
        <w:ind w:hanging="720"/>
      </w:pPr>
      <w:r w:rsidRPr="00C37B8B">
        <w:t>Identifying coins and bills and using a check writing guide.</w:t>
      </w:r>
    </w:p>
    <w:p w14:paraId="5497DA86" w14:textId="77777777" w:rsidR="00C37B8B" w:rsidRPr="00C37B8B" w:rsidRDefault="00C37B8B">
      <w:pPr>
        <w:numPr>
          <w:ilvl w:val="1"/>
          <w:numId w:val="50"/>
        </w:numPr>
        <w:tabs>
          <w:tab w:val="clear" w:pos="1440"/>
          <w:tab w:val="num" w:pos="1080"/>
        </w:tabs>
        <w:ind w:hanging="720"/>
      </w:pPr>
      <w:r w:rsidRPr="00C37B8B">
        <w:t>Techniques for maintenance of household items.</w:t>
      </w:r>
    </w:p>
    <w:p w14:paraId="60A7247D" w14:textId="77777777" w:rsidR="00C37B8B" w:rsidRPr="00C37B8B" w:rsidRDefault="00C37B8B">
      <w:pPr>
        <w:numPr>
          <w:ilvl w:val="1"/>
          <w:numId w:val="50"/>
        </w:numPr>
        <w:tabs>
          <w:tab w:val="clear" w:pos="1440"/>
          <w:tab w:val="num" w:pos="1080"/>
        </w:tabs>
        <w:ind w:left="1080"/>
      </w:pPr>
      <w:r w:rsidRPr="00C37B8B">
        <w:t>Managing one's wardrobe including coordinating items, identifying and sorting clothing, maintenance and cleanliness.</w:t>
      </w:r>
    </w:p>
    <w:p w14:paraId="072FB923" w14:textId="15838EB7" w:rsidR="00C37B8B" w:rsidRPr="00C37B8B" w:rsidRDefault="00C37B8B">
      <w:pPr>
        <w:numPr>
          <w:ilvl w:val="1"/>
          <w:numId w:val="50"/>
        </w:numPr>
        <w:tabs>
          <w:tab w:val="clear" w:pos="1440"/>
          <w:tab w:val="num" w:pos="1080"/>
        </w:tabs>
        <w:ind w:left="1080"/>
      </w:pPr>
      <w:r w:rsidRPr="00C37B8B">
        <w:t>Organizing kitchen cupboards and drawers to safely find and identify various cooking ingredients, supplies</w:t>
      </w:r>
      <w:r w:rsidR="0029148E">
        <w:t>,</w:t>
      </w:r>
      <w:r w:rsidRPr="00C37B8B">
        <w:t xml:space="preserve"> and utensils.</w:t>
      </w:r>
    </w:p>
    <w:p w14:paraId="4CDE3281" w14:textId="77777777" w:rsidR="00C37B8B" w:rsidRPr="00C37B8B" w:rsidRDefault="00C37B8B">
      <w:pPr>
        <w:numPr>
          <w:ilvl w:val="1"/>
          <w:numId w:val="50"/>
        </w:numPr>
        <w:tabs>
          <w:tab w:val="clear" w:pos="1440"/>
          <w:tab w:val="num" w:pos="1080"/>
        </w:tabs>
        <w:ind w:left="1080"/>
      </w:pPr>
      <w:r w:rsidRPr="00C37B8B">
        <w:t>Preparing meals using basic kitchen tools (e.g., microwave, electric mixer, etc.) and essential food preparation and cooking techniques.</w:t>
      </w:r>
    </w:p>
    <w:p w14:paraId="034460F3" w14:textId="77777777" w:rsidR="00C37B8B" w:rsidRPr="00C37B8B" w:rsidRDefault="00C37B8B">
      <w:pPr>
        <w:numPr>
          <w:ilvl w:val="1"/>
          <w:numId w:val="50"/>
        </w:numPr>
        <w:tabs>
          <w:tab w:val="clear" w:pos="1440"/>
          <w:tab w:val="num" w:pos="1080"/>
        </w:tabs>
        <w:ind w:hanging="720"/>
      </w:pPr>
      <w:r w:rsidRPr="00C37B8B">
        <w:t>DeafBlind Independent Living Skills.</w:t>
      </w:r>
    </w:p>
    <w:p w14:paraId="7147F4D5" w14:textId="38127F47" w:rsidR="00C37B8B" w:rsidRPr="00C37B8B" w:rsidRDefault="00C37B8B">
      <w:pPr>
        <w:numPr>
          <w:ilvl w:val="0"/>
          <w:numId w:val="50"/>
        </w:numPr>
        <w:tabs>
          <w:tab w:val="clear" w:pos="720"/>
        </w:tabs>
        <w:ind w:left="360"/>
      </w:pPr>
      <w:r w:rsidRPr="00C37B8B">
        <w:rPr>
          <w:b/>
          <w:bCs/>
        </w:rPr>
        <w:t>Facilitated Structured Group Discussion</w:t>
      </w:r>
    </w:p>
    <w:p w14:paraId="7088962D" w14:textId="77777777" w:rsidR="00C37B8B" w:rsidRPr="00C37B8B" w:rsidRDefault="00C37B8B">
      <w:pPr>
        <w:numPr>
          <w:ilvl w:val="1"/>
          <w:numId w:val="50"/>
        </w:numPr>
        <w:tabs>
          <w:tab w:val="clear" w:pos="1440"/>
          <w:tab w:val="num" w:pos="1080"/>
        </w:tabs>
        <w:ind w:left="1080"/>
      </w:pPr>
      <w:r w:rsidRPr="00C37B8B">
        <w:t>Participating in discussions with other students and staff on topics centering on blindness, visual impairment, and DeafBlindness and its impact on employment, independent living, and social interactions.</w:t>
      </w:r>
    </w:p>
    <w:p w14:paraId="42F6246C" w14:textId="5D05E9B9" w:rsidR="00C37B8B" w:rsidRPr="00C37B8B" w:rsidRDefault="00C37B8B">
      <w:pPr>
        <w:numPr>
          <w:ilvl w:val="0"/>
          <w:numId w:val="50"/>
        </w:numPr>
        <w:tabs>
          <w:tab w:val="clear" w:pos="720"/>
          <w:tab w:val="num" w:pos="360"/>
        </w:tabs>
        <w:ind w:hanging="720"/>
      </w:pPr>
      <w:r w:rsidRPr="00C37B8B">
        <w:rPr>
          <w:b/>
          <w:bCs/>
        </w:rPr>
        <w:t>Other Optional Training Activities</w:t>
      </w:r>
    </w:p>
    <w:p w14:paraId="77E0289C" w14:textId="61827303" w:rsidR="00C37B8B" w:rsidRPr="00C37B8B" w:rsidRDefault="00C37B8B" w:rsidP="00117D3A">
      <w:pPr>
        <w:tabs>
          <w:tab w:val="left" w:pos="1080"/>
          <w:tab w:val="left" w:pos="1170"/>
        </w:tabs>
        <w:spacing w:after="240"/>
        <w:ind w:left="720"/>
      </w:pPr>
      <w:r w:rsidRPr="00C37B8B">
        <w:t xml:space="preserve">1.  </w:t>
      </w:r>
      <w:r w:rsidR="00991CAC">
        <w:t xml:space="preserve">  </w:t>
      </w:r>
      <w:r w:rsidRPr="00C37B8B">
        <w:t>Achieving a personal goal agreed upon by the participant, their SSB supervisor, and staff of the approved vendor.</w:t>
      </w:r>
    </w:p>
    <w:p w14:paraId="6D82DFA8" w14:textId="5EA25146" w:rsidR="00C37B8B" w:rsidRPr="00C37B8B" w:rsidRDefault="00C37B8B" w:rsidP="00846360">
      <w:pPr>
        <w:spacing w:after="120"/>
      </w:pPr>
      <w:r w:rsidRPr="00C37B8B">
        <w:t>SSB and WDU specific staff also go through six weeks of onboarding after they come back from sleep shade training. Onboarding consists of 6 modules containing a multitude of reading, watching presentations, attending meetings, completing blindness and low-vision specific trainings online, competing activities</w:t>
      </w:r>
      <w:r w:rsidR="00B73A9D">
        <w:t>,</w:t>
      </w:r>
      <w:r w:rsidRPr="00C37B8B">
        <w:t xml:space="preserve"> and passing quizzes. This includes meetings and completing activities with their </w:t>
      </w:r>
      <w:r w:rsidR="00EB5054">
        <w:t>assigned e</w:t>
      </w:r>
      <w:r w:rsidRPr="00C37B8B">
        <w:t xml:space="preserve">mployment </w:t>
      </w:r>
      <w:r w:rsidR="00EB5054">
        <w:t>s</w:t>
      </w:r>
      <w:r w:rsidRPr="00C37B8B">
        <w:t xml:space="preserve">pecialist and </w:t>
      </w:r>
      <w:r w:rsidR="00EB5054">
        <w:t>assistive</w:t>
      </w:r>
      <w:r w:rsidR="00EB5054" w:rsidRPr="00C37B8B">
        <w:t xml:space="preserve"> </w:t>
      </w:r>
      <w:r w:rsidR="00EB5054">
        <w:t>t</w:t>
      </w:r>
      <w:r w:rsidRPr="00C37B8B">
        <w:t>echnologist</w:t>
      </w:r>
      <w:r w:rsidR="00C36928">
        <w:t>.</w:t>
      </w:r>
      <w:r w:rsidRPr="00C37B8B">
        <w:t xml:space="preserve"> </w:t>
      </w:r>
      <w:r w:rsidR="00C36928">
        <w:t>They shadow</w:t>
      </w:r>
      <w:r w:rsidRPr="00C37B8B">
        <w:t xml:space="preserve"> </w:t>
      </w:r>
      <w:r w:rsidR="00C36928">
        <w:t>a</w:t>
      </w:r>
      <w:r w:rsidRPr="00C37B8B">
        <w:t xml:space="preserve">ssistive </w:t>
      </w:r>
      <w:r w:rsidR="00C36928">
        <w:t>t</w:t>
      </w:r>
      <w:r w:rsidRPr="00C37B8B">
        <w:t xml:space="preserve">echnology </w:t>
      </w:r>
      <w:r w:rsidR="00C36928">
        <w:t>s</w:t>
      </w:r>
      <w:r w:rsidRPr="00C37B8B">
        <w:t xml:space="preserve">pecialists </w:t>
      </w:r>
      <w:r w:rsidR="00C36928">
        <w:t>to learn more about the work they do with</w:t>
      </w:r>
      <w:r w:rsidRPr="00C37B8B">
        <w:t xml:space="preserve"> customers. The new employee learns about not only vocational rehabilitation in terms of its history, but also SSB specific policies and procedures through activities, quizzes, and case study. The case study allows them to use their knowledge of the policies and procedures and implement that with a new system many are unfamiliar with </w:t>
      </w:r>
      <w:r w:rsidR="00BF74DD">
        <w:t xml:space="preserve">called </w:t>
      </w:r>
      <w:r w:rsidRPr="00C37B8B">
        <w:t xml:space="preserve">WorkForce </w:t>
      </w:r>
      <w:r w:rsidR="00C323D8">
        <w:t>One</w:t>
      </w:r>
      <w:r w:rsidRPr="00C37B8B">
        <w:t xml:space="preserve"> (WF1). This includes reviewing eye reports, uploading documents to the system, writing case notes, calculating Customer Financial Participation (CFP), completing vendor referrals, and more. </w:t>
      </w:r>
    </w:p>
    <w:p w14:paraId="50CB1AF4" w14:textId="77777777" w:rsidR="00C37B8B" w:rsidRPr="00C37B8B" w:rsidRDefault="00C37B8B" w:rsidP="00846360">
      <w:pPr>
        <w:ind w:left="720" w:hanging="720"/>
      </w:pPr>
      <w:r w:rsidRPr="00C37B8B">
        <w:t xml:space="preserve">New Employee Onboarding Summary: </w:t>
      </w:r>
    </w:p>
    <w:p w14:paraId="1AD5E446" w14:textId="77777777" w:rsidR="00C37B8B" w:rsidRPr="00C37B8B" w:rsidRDefault="00C37B8B" w:rsidP="00846360">
      <w:pPr>
        <w:rPr>
          <w:b/>
          <w:bCs/>
        </w:rPr>
      </w:pPr>
      <w:r w:rsidRPr="00C37B8B">
        <w:rPr>
          <w:b/>
          <w:bCs/>
        </w:rPr>
        <w:t xml:space="preserve">Module 1: </w:t>
      </w:r>
    </w:p>
    <w:p w14:paraId="1AA31EE8" w14:textId="77777777" w:rsidR="00C37B8B" w:rsidRPr="00C37B8B" w:rsidRDefault="00C37B8B">
      <w:pPr>
        <w:numPr>
          <w:ilvl w:val="0"/>
          <w:numId w:val="44"/>
        </w:numPr>
      </w:pPr>
      <w:r w:rsidRPr="00C37B8B">
        <w:t>Read policy chapters about General Requirements, Information &amp; Referral, Informed Choice, Data Practices, Mandates Reporting and Case Documentation &amp; Record of Service.</w:t>
      </w:r>
    </w:p>
    <w:p w14:paraId="7EE57D13" w14:textId="77777777" w:rsidR="00C37B8B" w:rsidRPr="00C37B8B" w:rsidRDefault="00C37B8B">
      <w:pPr>
        <w:numPr>
          <w:ilvl w:val="0"/>
          <w:numId w:val="44"/>
        </w:numPr>
      </w:pPr>
      <w:r w:rsidRPr="00C37B8B">
        <w:t>Activities: Upload an accessible document to WF1, understand DRIVE Case Noting Framework, create case notes when given a scenario</w:t>
      </w:r>
    </w:p>
    <w:p w14:paraId="44FC3717" w14:textId="77777777" w:rsidR="00C37B8B" w:rsidRPr="00C37B8B" w:rsidRDefault="00C37B8B">
      <w:pPr>
        <w:numPr>
          <w:ilvl w:val="0"/>
          <w:numId w:val="44"/>
        </w:numPr>
      </w:pPr>
      <w:r w:rsidRPr="00C37B8B">
        <w:t>Quizzes: Is this Competitive and Integrated Employment?, Data Practices, Case Documentation</w:t>
      </w:r>
    </w:p>
    <w:p w14:paraId="1ADA4A7E" w14:textId="77777777" w:rsidR="00C37B8B" w:rsidRPr="00C37B8B" w:rsidRDefault="00C37B8B" w:rsidP="00846360">
      <w:pPr>
        <w:rPr>
          <w:b/>
          <w:bCs/>
        </w:rPr>
      </w:pPr>
      <w:r w:rsidRPr="00C37B8B">
        <w:rPr>
          <w:b/>
          <w:bCs/>
        </w:rPr>
        <w:t xml:space="preserve">Module 2: </w:t>
      </w:r>
    </w:p>
    <w:p w14:paraId="43689525" w14:textId="6173B52E" w:rsidR="00C37B8B" w:rsidRPr="00C37B8B" w:rsidRDefault="00C37B8B">
      <w:pPr>
        <w:numPr>
          <w:ilvl w:val="0"/>
          <w:numId w:val="45"/>
        </w:numPr>
      </w:pPr>
      <w:r w:rsidRPr="00C37B8B">
        <w:t>Read policy chapters about referral, intake, and application, eligibility &amp; OOS, Comprehensive Assessment &amp; IPE Development, Comparable benefits, and Customer Financial Participation (CFP)</w:t>
      </w:r>
      <w:r w:rsidR="00C67DFB">
        <w:t>.</w:t>
      </w:r>
    </w:p>
    <w:p w14:paraId="1E2E9053" w14:textId="77777777" w:rsidR="00C37B8B" w:rsidRPr="00C37B8B" w:rsidRDefault="00C37B8B">
      <w:pPr>
        <w:numPr>
          <w:ilvl w:val="0"/>
          <w:numId w:val="45"/>
        </w:numPr>
      </w:pPr>
      <w:r w:rsidRPr="00C37B8B">
        <w:t>Activities: Complete the “Frank Your Name Here” Case Study: Referral Intake &amp; Application, Eligibility, Comprehensive Assessment &amp; IPE Development, discuss comparable benefits for Frank, complete Frank’s CFP</w:t>
      </w:r>
    </w:p>
    <w:p w14:paraId="7B63787F" w14:textId="52A355D5" w:rsidR="00C37B8B" w:rsidRPr="00C37B8B" w:rsidRDefault="00C37B8B">
      <w:pPr>
        <w:numPr>
          <w:ilvl w:val="1"/>
          <w:numId w:val="45"/>
        </w:numPr>
      </w:pPr>
      <w:r w:rsidRPr="00C37B8B">
        <w:t xml:space="preserve">Techs do not complete IPEs. </w:t>
      </w:r>
      <w:r w:rsidR="00B11E44">
        <w:t>A supervisor creates</w:t>
      </w:r>
      <w:r w:rsidRPr="00C37B8B">
        <w:t xml:space="preserve"> that within the user profile they’re working under. </w:t>
      </w:r>
    </w:p>
    <w:p w14:paraId="321290C1" w14:textId="01B7A102" w:rsidR="00C37B8B" w:rsidRPr="00C37B8B" w:rsidRDefault="00C37B8B">
      <w:pPr>
        <w:numPr>
          <w:ilvl w:val="0"/>
          <w:numId w:val="45"/>
        </w:numPr>
      </w:pPr>
      <w:r w:rsidRPr="00C37B8B">
        <w:lastRenderedPageBreak/>
        <w:t xml:space="preserve">Staff Trainer begins scheduling meetings with </w:t>
      </w:r>
      <w:r w:rsidR="004375AB">
        <w:t xml:space="preserve">colleagues </w:t>
      </w:r>
      <w:r w:rsidRPr="00C37B8B">
        <w:t>around the office to build the new employee</w:t>
      </w:r>
      <w:r w:rsidR="004375AB">
        <w:t>’s</w:t>
      </w:r>
      <w:r w:rsidRPr="00C37B8B">
        <w:t xml:space="preserve"> network.</w:t>
      </w:r>
    </w:p>
    <w:p w14:paraId="0D481641" w14:textId="77777777" w:rsidR="00C37B8B" w:rsidRPr="00C37B8B" w:rsidRDefault="00C37B8B" w:rsidP="00846360">
      <w:pPr>
        <w:rPr>
          <w:b/>
          <w:bCs/>
        </w:rPr>
      </w:pPr>
      <w:r w:rsidRPr="00C37B8B">
        <w:rPr>
          <w:b/>
          <w:bCs/>
        </w:rPr>
        <w:t xml:space="preserve">Module 3: </w:t>
      </w:r>
    </w:p>
    <w:p w14:paraId="218A82CC" w14:textId="77777777" w:rsidR="00C37B8B" w:rsidRPr="00C37B8B" w:rsidRDefault="00C37B8B">
      <w:pPr>
        <w:numPr>
          <w:ilvl w:val="0"/>
          <w:numId w:val="46"/>
        </w:numPr>
      </w:pPr>
      <w:r w:rsidRPr="00C37B8B">
        <w:t xml:space="preserve">Read policy chapters about general service provision, other services such as interpretation, maintenance, personal assistance, transportation, vehicle modifications, etc. </w:t>
      </w:r>
    </w:p>
    <w:p w14:paraId="59C89503" w14:textId="77777777" w:rsidR="00C37B8B" w:rsidRPr="00C37B8B" w:rsidRDefault="00C37B8B">
      <w:pPr>
        <w:numPr>
          <w:ilvl w:val="0"/>
          <w:numId w:val="46"/>
        </w:numPr>
      </w:pPr>
      <w:r w:rsidRPr="00C37B8B">
        <w:t xml:space="preserve">Activities: calculate the cost of school with the Staff Trainer, complete three authorizations in WF1 for ATB, college tuition, and Metro Mobility </w:t>
      </w:r>
    </w:p>
    <w:p w14:paraId="7F098A2C" w14:textId="77777777" w:rsidR="00C37B8B" w:rsidRPr="00C37B8B" w:rsidRDefault="00C37B8B">
      <w:pPr>
        <w:numPr>
          <w:ilvl w:val="0"/>
          <w:numId w:val="46"/>
        </w:numPr>
      </w:pPr>
      <w:r w:rsidRPr="00C37B8B">
        <w:t xml:space="preserve">Quizzes: Everything Around Service Provision, CFP and Schooling Quiz </w:t>
      </w:r>
    </w:p>
    <w:p w14:paraId="2C06C461" w14:textId="0EAA936F" w:rsidR="00C37B8B" w:rsidRPr="00C37B8B" w:rsidRDefault="00C37B8B">
      <w:pPr>
        <w:numPr>
          <w:ilvl w:val="0"/>
          <w:numId w:val="46"/>
        </w:numPr>
      </w:pPr>
      <w:r w:rsidRPr="00C37B8B">
        <w:t xml:space="preserve">Staff Trainer continues scheduling meetings with </w:t>
      </w:r>
      <w:r w:rsidR="00712182">
        <w:t>colleagues</w:t>
      </w:r>
      <w:r w:rsidR="00712182" w:rsidRPr="00C37B8B">
        <w:t xml:space="preserve"> </w:t>
      </w:r>
      <w:r w:rsidRPr="00C37B8B">
        <w:t>around the office to build the new employee</w:t>
      </w:r>
      <w:r w:rsidR="00C67DFB">
        <w:t>’</w:t>
      </w:r>
      <w:r w:rsidRPr="00C37B8B">
        <w:t xml:space="preserve">s network. </w:t>
      </w:r>
    </w:p>
    <w:p w14:paraId="1AA88399" w14:textId="77777777" w:rsidR="00C37B8B" w:rsidRPr="00C37B8B" w:rsidRDefault="00C37B8B" w:rsidP="00846360">
      <w:pPr>
        <w:rPr>
          <w:b/>
          <w:bCs/>
        </w:rPr>
      </w:pPr>
      <w:r w:rsidRPr="00C37B8B">
        <w:rPr>
          <w:b/>
          <w:bCs/>
        </w:rPr>
        <w:t xml:space="preserve">Module 4: </w:t>
      </w:r>
    </w:p>
    <w:p w14:paraId="4DCD4D90" w14:textId="77777777" w:rsidR="00C37B8B" w:rsidRPr="00C37B8B" w:rsidRDefault="00C37B8B">
      <w:pPr>
        <w:numPr>
          <w:ilvl w:val="0"/>
          <w:numId w:val="47"/>
        </w:numPr>
      </w:pPr>
      <w:r w:rsidRPr="00C37B8B">
        <w:t xml:space="preserve">Read policy chapters about Pre-ETS, Translation Services, Subminimum Wage, and Vendor Guidance. </w:t>
      </w:r>
    </w:p>
    <w:p w14:paraId="58256401" w14:textId="77777777" w:rsidR="00C37B8B" w:rsidRPr="00C37B8B" w:rsidRDefault="00C37B8B">
      <w:pPr>
        <w:numPr>
          <w:ilvl w:val="0"/>
          <w:numId w:val="47"/>
        </w:numPr>
      </w:pPr>
      <w:r w:rsidRPr="00C37B8B">
        <w:t xml:space="preserve">Activities: Completing a referral for Frank, and leaning more about Pre-ETS by reading the Marc Marcus Case Study and completing an ROI, Pre-ETS authorization, and grade uploading for Marc. </w:t>
      </w:r>
    </w:p>
    <w:p w14:paraId="2D7A5A46" w14:textId="40E6C9EA" w:rsidR="00C37B8B" w:rsidRDefault="00C37B8B">
      <w:pPr>
        <w:numPr>
          <w:ilvl w:val="0"/>
          <w:numId w:val="47"/>
        </w:numPr>
      </w:pPr>
      <w:r w:rsidRPr="00C37B8B">
        <w:t xml:space="preserve">Staff Trainer continues scheduling meetings with </w:t>
      </w:r>
      <w:r w:rsidR="002C2EEC">
        <w:t>colleagues</w:t>
      </w:r>
      <w:r w:rsidR="002C2EEC" w:rsidRPr="00C37B8B">
        <w:t xml:space="preserve"> </w:t>
      </w:r>
      <w:r w:rsidRPr="00C37B8B">
        <w:t>around the office to build the new employee</w:t>
      </w:r>
      <w:r w:rsidR="002C2EEC">
        <w:t>’</w:t>
      </w:r>
      <w:r w:rsidRPr="00C37B8B">
        <w:t xml:space="preserve">s network. </w:t>
      </w:r>
    </w:p>
    <w:p w14:paraId="49E5F616" w14:textId="77777777" w:rsidR="00C37B8B" w:rsidRPr="00C37B8B" w:rsidRDefault="00C37B8B" w:rsidP="00846360">
      <w:pPr>
        <w:rPr>
          <w:b/>
          <w:bCs/>
        </w:rPr>
      </w:pPr>
      <w:r w:rsidRPr="00C37B8B">
        <w:rPr>
          <w:b/>
          <w:bCs/>
        </w:rPr>
        <w:t xml:space="preserve">Module 5: </w:t>
      </w:r>
    </w:p>
    <w:p w14:paraId="161E8ED9" w14:textId="77777777" w:rsidR="00C37B8B" w:rsidRPr="00C37B8B" w:rsidRDefault="00C37B8B">
      <w:pPr>
        <w:numPr>
          <w:ilvl w:val="0"/>
          <w:numId w:val="48"/>
        </w:numPr>
      </w:pPr>
      <w:r w:rsidRPr="00C37B8B">
        <w:t xml:space="preserve">More policy reading. </w:t>
      </w:r>
    </w:p>
    <w:p w14:paraId="2D5AE10B" w14:textId="77777777" w:rsidR="00C37B8B" w:rsidRPr="00C37B8B" w:rsidRDefault="00C37B8B" w:rsidP="00846360">
      <w:pPr>
        <w:rPr>
          <w:b/>
          <w:bCs/>
        </w:rPr>
      </w:pPr>
      <w:r w:rsidRPr="00C37B8B">
        <w:rPr>
          <w:b/>
          <w:bCs/>
        </w:rPr>
        <w:t xml:space="preserve">Module 6: </w:t>
      </w:r>
    </w:p>
    <w:p w14:paraId="12781E0B" w14:textId="77777777" w:rsidR="00C37B8B" w:rsidRPr="00C37B8B" w:rsidRDefault="00C37B8B">
      <w:pPr>
        <w:numPr>
          <w:ilvl w:val="0"/>
          <w:numId w:val="48"/>
        </w:numPr>
        <w:spacing w:after="240"/>
      </w:pPr>
      <w:r w:rsidRPr="00C37B8B">
        <w:t>Learning about other disabilities and resources, like our WF1 Connect Mobile App, autism, neurodivergence, traumatic brain injuries, etc.  </w:t>
      </w:r>
    </w:p>
    <w:p w14:paraId="1A050492" w14:textId="22F003C2" w:rsidR="00EC0A72" w:rsidRDefault="00C37B8B" w:rsidP="00846360">
      <w:pPr>
        <w:spacing w:after="360"/>
      </w:pPr>
      <w:r w:rsidRPr="00C37B8B">
        <w:t xml:space="preserve">New employees are also asked to meet with their team and read and analyze corresponding policy chapters for each individual on their team to understand how their team works, the responsibilities of </w:t>
      </w:r>
      <w:r w:rsidR="00860467">
        <w:t xml:space="preserve">each </w:t>
      </w:r>
      <w:r w:rsidR="004E3853">
        <w:t>team member</w:t>
      </w:r>
      <w:r w:rsidRPr="00C37B8B">
        <w:t>, and what individual customers may need from the team at any given time</w:t>
      </w:r>
      <w:r w:rsidR="004E3853">
        <w:t>,</w:t>
      </w:r>
      <w:r w:rsidRPr="00C37B8B">
        <w:t xml:space="preserve"> for any customer. </w:t>
      </w:r>
      <w:r w:rsidR="003825A3">
        <w:t>Additionally</w:t>
      </w:r>
      <w:r w:rsidRPr="00C37B8B">
        <w:t xml:space="preserve">, </w:t>
      </w:r>
      <w:r w:rsidR="00B61A17">
        <w:t>a weekly</w:t>
      </w:r>
      <w:r w:rsidR="00CD0490">
        <w:t xml:space="preserve"> newsletter highlighting upcoming</w:t>
      </w:r>
      <w:r w:rsidR="00763163">
        <w:t xml:space="preserve"> opportunities for</w:t>
      </w:r>
      <w:r w:rsidR="00CD0490">
        <w:t xml:space="preserve"> </w:t>
      </w:r>
      <w:r w:rsidR="003C00CF">
        <w:t xml:space="preserve">internal and external </w:t>
      </w:r>
      <w:r w:rsidR="00CD0490">
        <w:t xml:space="preserve">trainings and webinars that relates to vocational rehabilitation, accessibility, health and wellness, etc. </w:t>
      </w:r>
      <w:r w:rsidR="00EA2267">
        <w:t xml:space="preserve">is sent </w:t>
      </w:r>
      <w:r w:rsidRPr="00C37B8B">
        <w:t xml:space="preserve">to current staff so they can keep up to date on </w:t>
      </w:r>
      <w:r w:rsidR="007E38BE">
        <w:t>skills</w:t>
      </w:r>
      <w:r w:rsidR="003B1DD5">
        <w:t>, research</w:t>
      </w:r>
      <w:r w:rsidR="00701E2F">
        <w:t>,</w:t>
      </w:r>
      <w:r w:rsidRPr="00C37B8B">
        <w:t xml:space="preserve"> and also Certified Rehabilitation Counselor (CRC) continuing education units</w:t>
      </w:r>
      <w:r w:rsidR="00537720">
        <w:t>,</w:t>
      </w:r>
      <w:r w:rsidRPr="00C37B8B">
        <w:t xml:space="preserve"> if they so require. Staff may request, for development purposes, additional or more advanced training activities that will be considered on a case-by-case basis and reflect organizational needs and resources.</w:t>
      </w:r>
    </w:p>
    <w:p w14:paraId="2A9EE15D" w14:textId="600539F4" w:rsidR="00D24ACF" w:rsidRDefault="0058536C" w:rsidP="00A1127C">
      <w:pPr>
        <w:rPr>
          <w:rFonts w:ascii="Calibri" w:eastAsiaTheme="majorEastAsia" w:hAnsi="Calibri" w:cs="Calibri"/>
        </w:rPr>
      </w:pPr>
      <w:r w:rsidRPr="0058536C">
        <w:t xml:space="preserve">In collaboration with other offices of the Department of Employment and Economic Development (DEED), SSB utilizes a collaborative model when looking at employee performance and creates a dialogue between supervisor and staff. Together, they </w:t>
      </w:r>
      <w:r w:rsidR="008967AB">
        <w:t>establish</w:t>
      </w:r>
      <w:r w:rsidR="008967AB" w:rsidRPr="0058536C">
        <w:t xml:space="preserve"> </w:t>
      </w:r>
      <w:r w:rsidRPr="0058536C">
        <w:t>goals for the upcoming year and put plans into place that will help the individual reach those goals. A final component is completing a review of any essential professional and employment-related training that is either desired by the employee or required by the employer. Ongoing in-service training offerings give employees a wide variety of options for enhancing and improving skills.</w:t>
      </w:r>
      <w:r w:rsidR="00D24ACF" w:rsidRPr="00D24ACF">
        <w:rPr>
          <w:rFonts w:ascii="Calibri" w:eastAsiaTheme="majorEastAsia" w:hAnsi="Calibri" w:cs="Calibri"/>
        </w:rPr>
        <w:t xml:space="preserve"> </w:t>
      </w:r>
      <w:r w:rsidR="00E53676">
        <w:rPr>
          <w:rFonts w:ascii="Calibri" w:eastAsiaTheme="majorEastAsia" w:hAnsi="Calibri" w:cs="Calibri"/>
        </w:rPr>
        <w:t xml:space="preserve">This </w:t>
      </w:r>
      <w:r w:rsidR="00C5394F">
        <w:rPr>
          <w:rFonts w:ascii="Calibri" w:eastAsiaTheme="majorEastAsia" w:hAnsi="Calibri" w:cs="Calibri"/>
        </w:rPr>
        <w:t>new DEED department</w:t>
      </w:r>
      <w:r w:rsidR="00650422">
        <w:rPr>
          <w:rFonts w:ascii="Calibri" w:eastAsiaTheme="majorEastAsia" w:hAnsi="Calibri" w:cs="Calibri"/>
        </w:rPr>
        <w:t>-</w:t>
      </w:r>
      <w:r w:rsidR="00C5394F">
        <w:rPr>
          <w:rFonts w:ascii="Calibri" w:eastAsiaTheme="majorEastAsia" w:hAnsi="Calibri" w:cs="Calibri"/>
        </w:rPr>
        <w:t xml:space="preserve">wide initiative </w:t>
      </w:r>
      <w:r w:rsidR="002A1A97">
        <w:rPr>
          <w:rFonts w:ascii="Calibri" w:eastAsiaTheme="majorEastAsia" w:hAnsi="Calibri" w:cs="Calibri"/>
        </w:rPr>
        <w:t xml:space="preserve">calls for employee led </w:t>
      </w:r>
      <w:r w:rsidR="00DA6B7E">
        <w:rPr>
          <w:rFonts w:ascii="Calibri" w:eastAsiaTheme="majorEastAsia" w:hAnsi="Calibri" w:cs="Calibri"/>
        </w:rPr>
        <w:t xml:space="preserve">Individual Development Plans (IDP) that are organized into two main categories: Skills and Professional Development, and Inclusive </w:t>
      </w:r>
      <w:r w:rsidR="00C2547D">
        <w:rPr>
          <w:rFonts w:ascii="Calibri" w:eastAsiaTheme="majorEastAsia" w:hAnsi="Calibri" w:cs="Calibri"/>
        </w:rPr>
        <w:t xml:space="preserve">Customer </w:t>
      </w:r>
      <w:r w:rsidR="00DA6B7E">
        <w:rPr>
          <w:rFonts w:ascii="Calibri" w:eastAsiaTheme="majorEastAsia" w:hAnsi="Calibri" w:cs="Calibri"/>
        </w:rPr>
        <w:t xml:space="preserve">Service (for employees) or Inclusive Leadership (for people leaders). </w:t>
      </w:r>
    </w:p>
    <w:p w14:paraId="5D333A9C" w14:textId="115C6385" w:rsidR="006F6D7F" w:rsidRDefault="006F6D7F" w:rsidP="00A1127C">
      <w:pPr>
        <w:rPr>
          <w:rFonts w:ascii="Calibri" w:eastAsiaTheme="majorEastAsia" w:hAnsi="Calibri" w:cs="Calibri"/>
        </w:rPr>
      </w:pPr>
    </w:p>
    <w:p w14:paraId="7F7F496E" w14:textId="1C89AEFB" w:rsidR="00BF2B9F" w:rsidRDefault="007465DF" w:rsidP="00727AAA">
      <w:pPr>
        <w:spacing w:after="60"/>
        <w:rPr>
          <w:rFonts w:ascii="Calibri" w:eastAsiaTheme="majorEastAsia" w:hAnsi="Calibri" w:cs="Calibri"/>
        </w:rPr>
      </w:pPr>
      <w:r>
        <w:rPr>
          <w:rFonts w:ascii="Calibri" w:eastAsiaTheme="majorEastAsia" w:hAnsi="Calibri" w:cs="Calibri"/>
        </w:rPr>
        <w:t xml:space="preserve">WDU Annual Training Plans are </w:t>
      </w:r>
      <w:r w:rsidR="00FC19FB">
        <w:rPr>
          <w:rFonts w:ascii="Calibri" w:eastAsiaTheme="majorEastAsia" w:hAnsi="Calibri" w:cs="Calibri"/>
        </w:rPr>
        <w:t xml:space="preserve">developed and updated every year in August to </w:t>
      </w:r>
      <w:r w:rsidR="005F1BD7">
        <w:rPr>
          <w:rFonts w:ascii="Calibri" w:eastAsiaTheme="majorEastAsia" w:hAnsi="Calibri" w:cs="Calibri"/>
        </w:rPr>
        <w:t>share ideas and plan training</w:t>
      </w:r>
      <w:r w:rsidR="00B900F9">
        <w:rPr>
          <w:rFonts w:ascii="Calibri" w:eastAsiaTheme="majorEastAsia" w:hAnsi="Calibri" w:cs="Calibri"/>
        </w:rPr>
        <w:t>s</w:t>
      </w:r>
      <w:r w:rsidR="00E71290">
        <w:rPr>
          <w:rFonts w:ascii="Calibri" w:eastAsiaTheme="majorEastAsia" w:hAnsi="Calibri" w:cs="Calibri"/>
        </w:rPr>
        <w:t xml:space="preserve"> for the next year. </w:t>
      </w:r>
      <w:r w:rsidR="00F27512">
        <w:rPr>
          <w:rFonts w:ascii="Calibri" w:eastAsiaTheme="majorEastAsia" w:hAnsi="Calibri" w:cs="Calibri"/>
        </w:rPr>
        <w:t xml:space="preserve">They include ideas for the WDU Quarterly Meetings, </w:t>
      </w:r>
      <w:r w:rsidR="00656A49">
        <w:rPr>
          <w:rFonts w:ascii="Calibri" w:eastAsiaTheme="majorEastAsia" w:hAnsi="Calibri" w:cs="Calibri"/>
        </w:rPr>
        <w:t>online accessible training platform</w:t>
      </w:r>
      <w:r w:rsidR="00C94C29">
        <w:rPr>
          <w:rFonts w:ascii="Calibri" w:eastAsiaTheme="majorEastAsia" w:hAnsi="Calibri" w:cs="Calibri"/>
        </w:rPr>
        <w:t xml:space="preserve"> </w:t>
      </w:r>
      <w:r w:rsidR="00F27512">
        <w:rPr>
          <w:rFonts w:ascii="Calibri" w:eastAsiaTheme="majorEastAsia" w:hAnsi="Calibri" w:cs="Calibri"/>
        </w:rPr>
        <w:t>YesLMS, and Counselor-Only Training Sessions</w:t>
      </w:r>
      <w:r w:rsidR="00163CF6">
        <w:rPr>
          <w:rFonts w:ascii="Calibri" w:eastAsiaTheme="majorEastAsia" w:hAnsi="Calibri" w:cs="Calibri"/>
        </w:rPr>
        <w:t xml:space="preserve"> (COTS)</w:t>
      </w:r>
      <w:r w:rsidR="00F27512">
        <w:rPr>
          <w:rFonts w:ascii="Calibri" w:eastAsiaTheme="majorEastAsia" w:hAnsi="Calibri" w:cs="Calibri"/>
        </w:rPr>
        <w:t xml:space="preserve">. </w:t>
      </w:r>
      <w:r w:rsidR="00BF2B9F">
        <w:rPr>
          <w:rFonts w:ascii="Calibri" w:eastAsiaTheme="majorEastAsia" w:hAnsi="Calibri" w:cs="Calibri"/>
        </w:rPr>
        <w:t>Future areas of focus for t</w:t>
      </w:r>
      <w:r w:rsidR="00575D92">
        <w:rPr>
          <w:rFonts w:ascii="Calibri" w:eastAsiaTheme="majorEastAsia" w:hAnsi="Calibri" w:cs="Calibri"/>
        </w:rPr>
        <w:t xml:space="preserve">raining </w:t>
      </w:r>
      <w:r w:rsidR="00BF2B9F">
        <w:rPr>
          <w:rFonts w:ascii="Calibri" w:eastAsiaTheme="majorEastAsia" w:hAnsi="Calibri" w:cs="Calibri"/>
        </w:rPr>
        <w:t>include:</w:t>
      </w:r>
    </w:p>
    <w:p w14:paraId="20629306" w14:textId="1D415841" w:rsidR="006F6D7F" w:rsidRDefault="00326894">
      <w:pPr>
        <w:pStyle w:val="ListParagraph"/>
        <w:numPr>
          <w:ilvl w:val="0"/>
          <w:numId w:val="51"/>
        </w:numPr>
      </w:pPr>
      <w:r>
        <w:t>Supported Decision Making</w:t>
      </w:r>
    </w:p>
    <w:p w14:paraId="6EE375AD" w14:textId="46460D88" w:rsidR="00326894" w:rsidRDefault="00326894">
      <w:pPr>
        <w:pStyle w:val="ListParagraph"/>
        <w:numPr>
          <w:ilvl w:val="0"/>
          <w:numId w:val="51"/>
        </w:numPr>
      </w:pPr>
      <w:r>
        <w:t>Person-Centered Practices</w:t>
      </w:r>
    </w:p>
    <w:p w14:paraId="0881E1D1" w14:textId="0F065E76" w:rsidR="00326894" w:rsidRDefault="00326894">
      <w:pPr>
        <w:pStyle w:val="ListParagraph"/>
        <w:numPr>
          <w:ilvl w:val="0"/>
          <w:numId w:val="51"/>
        </w:numPr>
      </w:pPr>
      <w:r>
        <w:t>APH ConnectCenter</w:t>
      </w:r>
    </w:p>
    <w:p w14:paraId="02627FA8" w14:textId="3BA4117E" w:rsidR="00326894" w:rsidRDefault="00326894">
      <w:pPr>
        <w:pStyle w:val="ListParagraph"/>
        <w:numPr>
          <w:ilvl w:val="0"/>
          <w:numId w:val="51"/>
        </w:numPr>
      </w:pPr>
      <w:r>
        <w:t>HIPAA and Customer Confi</w:t>
      </w:r>
      <w:r w:rsidR="00727AAA">
        <w:t>d</w:t>
      </w:r>
      <w:r>
        <w:t>entiality</w:t>
      </w:r>
    </w:p>
    <w:p w14:paraId="3C0D4C1E" w14:textId="483254FC" w:rsidR="00326894" w:rsidRDefault="00326894">
      <w:pPr>
        <w:pStyle w:val="ListParagraph"/>
        <w:numPr>
          <w:ilvl w:val="0"/>
          <w:numId w:val="51"/>
        </w:numPr>
        <w:spacing w:after="120"/>
        <w:ind w:left="763"/>
      </w:pPr>
      <w:r>
        <w:t>Readying an Eye Report (COTS)</w:t>
      </w:r>
    </w:p>
    <w:p w14:paraId="4B3FF92A" w14:textId="75D98133" w:rsidR="000E1483" w:rsidRDefault="00EC090F" w:rsidP="00A1127C">
      <w:r>
        <w:t xml:space="preserve">The </w:t>
      </w:r>
      <w:r w:rsidR="00151782">
        <w:t xml:space="preserve">Counselor-Only Training Sessions </w:t>
      </w:r>
      <w:r w:rsidR="00731798">
        <w:t>(</w:t>
      </w:r>
      <w:r w:rsidR="00163CF6">
        <w:t>COTS</w:t>
      </w:r>
      <w:r w:rsidR="00731798">
        <w:t>) are held monthly with varying scheduled topics</w:t>
      </w:r>
      <w:r w:rsidR="00412943">
        <w:t xml:space="preserve">, </w:t>
      </w:r>
      <w:r w:rsidR="00731798">
        <w:t>speaker</w:t>
      </w:r>
      <w:r w:rsidR="00412943">
        <w:t xml:space="preserve">s, or dedicated time for Counselors to </w:t>
      </w:r>
      <w:r w:rsidR="00A9409F">
        <w:t>connect a</w:t>
      </w:r>
      <w:r w:rsidR="008E3E70">
        <w:t>nd help each other</w:t>
      </w:r>
      <w:r w:rsidR="00246E49">
        <w:t>,</w:t>
      </w:r>
      <w:r w:rsidR="008E3E70">
        <w:t xml:space="preserve"> and share resources. The COTS are informal and an excellent </w:t>
      </w:r>
      <w:r w:rsidR="00052361">
        <w:t xml:space="preserve">team </w:t>
      </w:r>
      <w:r w:rsidR="008E3E70">
        <w:t xml:space="preserve">building opportunity. </w:t>
      </w:r>
      <w:r w:rsidR="003C203D">
        <w:t xml:space="preserve">WDU Quarterly Meetings </w:t>
      </w:r>
      <w:r w:rsidR="00B701F1">
        <w:t>a</w:t>
      </w:r>
      <w:r w:rsidR="00CC326F">
        <w:t>re held 3-4 times per year with varying topics including</w:t>
      </w:r>
      <w:r w:rsidR="00543EC0">
        <w:t xml:space="preserve"> </w:t>
      </w:r>
      <w:r w:rsidR="00543EC0">
        <w:lastRenderedPageBreak/>
        <w:t xml:space="preserve">speakers, </w:t>
      </w:r>
      <w:r w:rsidR="00B362BC">
        <w:t xml:space="preserve">WDU updates, new employee introductions, etc. </w:t>
      </w:r>
      <w:r w:rsidR="000E4DFE">
        <w:t xml:space="preserve">All WDU staff are expected to attend the meetings or review the recordings which </w:t>
      </w:r>
      <w:r w:rsidR="004F5941">
        <w:t xml:space="preserve">are posted to the unit’s SharePoint site. </w:t>
      </w:r>
      <w:r w:rsidR="009F2CCA">
        <w:t xml:space="preserve"> </w:t>
      </w:r>
      <w:r>
        <w:t xml:space="preserve"> </w:t>
      </w:r>
    </w:p>
    <w:p w14:paraId="679A1409" w14:textId="77777777" w:rsidR="00163CF6" w:rsidRPr="00D24ACF" w:rsidRDefault="00163CF6" w:rsidP="00A1127C"/>
    <w:p w14:paraId="69267830" w14:textId="414D9D55" w:rsidR="0072431A" w:rsidRPr="006C6124" w:rsidRDefault="00D80BA3" w:rsidP="0072431A">
      <w:pPr>
        <w:spacing w:after="160" w:line="259" w:lineRule="auto"/>
        <w:rPr>
          <w:rFonts w:ascii="Calibri" w:hAnsi="Calibri" w:cs="Calibri"/>
        </w:rPr>
      </w:pPr>
      <w:r>
        <w:rPr>
          <w:rFonts w:ascii="Calibri" w:hAnsi="Calibri" w:cs="Calibri"/>
        </w:rPr>
        <w:t xml:space="preserve">Additional </w:t>
      </w:r>
      <w:r w:rsidR="0072431A" w:rsidRPr="006C6124">
        <w:rPr>
          <w:rFonts w:ascii="Calibri" w:hAnsi="Calibri" w:cs="Calibri"/>
        </w:rPr>
        <w:t>DEED H</w:t>
      </w:r>
      <w:r w:rsidR="0072431A">
        <w:rPr>
          <w:rFonts w:ascii="Calibri" w:hAnsi="Calibri" w:cs="Calibri"/>
        </w:rPr>
        <w:t xml:space="preserve">uman </w:t>
      </w:r>
      <w:r w:rsidR="0072431A" w:rsidRPr="006C6124">
        <w:rPr>
          <w:rFonts w:ascii="Calibri" w:hAnsi="Calibri" w:cs="Calibri"/>
        </w:rPr>
        <w:t>R</w:t>
      </w:r>
      <w:r w:rsidR="0072431A">
        <w:rPr>
          <w:rFonts w:ascii="Calibri" w:hAnsi="Calibri" w:cs="Calibri"/>
        </w:rPr>
        <w:t>esources</w:t>
      </w:r>
      <w:r w:rsidR="0072431A" w:rsidRPr="006C6124">
        <w:rPr>
          <w:rFonts w:ascii="Calibri" w:hAnsi="Calibri" w:cs="Calibri"/>
        </w:rPr>
        <w:t xml:space="preserve"> requires mandatory annual trainings for all employees</w:t>
      </w:r>
      <w:r w:rsidR="0072431A">
        <w:rPr>
          <w:rFonts w:ascii="Calibri" w:hAnsi="Calibri" w:cs="Calibri"/>
        </w:rPr>
        <w:t xml:space="preserve">. </w:t>
      </w:r>
      <w:r w:rsidR="0072431A" w:rsidRPr="006C6124">
        <w:rPr>
          <w:rFonts w:ascii="Calibri" w:hAnsi="Calibri" w:cs="Calibri"/>
        </w:rPr>
        <w:t xml:space="preserve">Some employees may be asked to complete additional trainings based on their role or leadership authority. Most employees complete the following trainings: </w:t>
      </w:r>
    </w:p>
    <w:p w14:paraId="03DDABD3" w14:textId="77777777" w:rsidR="0072431A" w:rsidRPr="006C6124" w:rsidRDefault="0072431A">
      <w:pPr>
        <w:numPr>
          <w:ilvl w:val="1"/>
          <w:numId w:val="48"/>
        </w:numPr>
        <w:tabs>
          <w:tab w:val="left" w:pos="1170"/>
        </w:tabs>
        <w:ind w:hanging="1080"/>
        <w:rPr>
          <w:rFonts w:ascii="Calibri" w:hAnsi="Calibri" w:cs="Calibri"/>
        </w:rPr>
      </w:pPr>
      <w:r w:rsidRPr="006C6124">
        <w:rPr>
          <w:rFonts w:ascii="Calibri" w:hAnsi="Calibri" w:cs="Calibri"/>
        </w:rPr>
        <w:t>Code of Ethics</w:t>
      </w:r>
    </w:p>
    <w:p w14:paraId="6A155DB8" w14:textId="77777777" w:rsidR="0072431A" w:rsidRPr="006C6124" w:rsidRDefault="0072431A">
      <w:pPr>
        <w:numPr>
          <w:ilvl w:val="1"/>
          <w:numId w:val="48"/>
        </w:numPr>
        <w:tabs>
          <w:tab w:val="left" w:pos="1170"/>
        </w:tabs>
        <w:ind w:hanging="1080"/>
        <w:rPr>
          <w:rFonts w:ascii="Calibri" w:hAnsi="Calibri" w:cs="Calibri"/>
        </w:rPr>
      </w:pPr>
      <w:r w:rsidRPr="006C6124">
        <w:rPr>
          <w:rFonts w:ascii="Calibri" w:hAnsi="Calibri" w:cs="Calibri"/>
        </w:rPr>
        <w:t>Appropriate Use of Electronic Communications</w:t>
      </w:r>
    </w:p>
    <w:p w14:paraId="50B95228" w14:textId="77777777" w:rsidR="0072431A" w:rsidRPr="006C6124" w:rsidRDefault="0072431A">
      <w:pPr>
        <w:numPr>
          <w:ilvl w:val="1"/>
          <w:numId w:val="48"/>
        </w:numPr>
        <w:tabs>
          <w:tab w:val="left" w:pos="1170"/>
        </w:tabs>
        <w:ind w:hanging="1080"/>
        <w:rPr>
          <w:rFonts w:ascii="Calibri" w:hAnsi="Calibri" w:cs="Calibri"/>
        </w:rPr>
      </w:pPr>
      <w:r w:rsidRPr="006C6124">
        <w:rPr>
          <w:rFonts w:ascii="Calibri" w:hAnsi="Calibri" w:cs="Calibri"/>
        </w:rPr>
        <w:t>Prohibition of Harassment and Discrimination</w:t>
      </w:r>
    </w:p>
    <w:p w14:paraId="70919B19" w14:textId="77777777" w:rsidR="0072431A" w:rsidRPr="006C6124" w:rsidRDefault="0072431A">
      <w:pPr>
        <w:numPr>
          <w:ilvl w:val="1"/>
          <w:numId w:val="48"/>
        </w:numPr>
        <w:tabs>
          <w:tab w:val="left" w:pos="1170"/>
        </w:tabs>
        <w:ind w:hanging="1080"/>
        <w:rPr>
          <w:rFonts w:ascii="Calibri" w:hAnsi="Calibri" w:cs="Calibri"/>
        </w:rPr>
      </w:pPr>
      <w:r w:rsidRPr="006C6124">
        <w:rPr>
          <w:rFonts w:ascii="Calibri" w:hAnsi="Calibri" w:cs="Calibri"/>
        </w:rPr>
        <w:t xml:space="preserve">Security Awareness </w:t>
      </w:r>
    </w:p>
    <w:p w14:paraId="1CF814BB" w14:textId="77777777" w:rsidR="0072431A" w:rsidRPr="006C6124" w:rsidRDefault="0072431A">
      <w:pPr>
        <w:numPr>
          <w:ilvl w:val="1"/>
          <w:numId w:val="48"/>
        </w:numPr>
        <w:tabs>
          <w:tab w:val="left" w:pos="1170"/>
        </w:tabs>
        <w:ind w:hanging="1080"/>
        <w:rPr>
          <w:rFonts w:ascii="Calibri" w:hAnsi="Calibri" w:cs="Calibri"/>
        </w:rPr>
      </w:pPr>
      <w:r w:rsidRPr="006C6124">
        <w:rPr>
          <w:rFonts w:ascii="Calibri" w:hAnsi="Calibri" w:cs="Calibri"/>
        </w:rPr>
        <w:t xml:space="preserve">Preventing Sexual Harassment </w:t>
      </w:r>
    </w:p>
    <w:p w14:paraId="74400D24" w14:textId="77777777" w:rsidR="0072431A" w:rsidRPr="006C6124" w:rsidRDefault="0072431A">
      <w:pPr>
        <w:numPr>
          <w:ilvl w:val="1"/>
          <w:numId w:val="48"/>
        </w:numPr>
        <w:tabs>
          <w:tab w:val="left" w:pos="1170"/>
        </w:tabs>
        <w:ind w:hanging="1080"/>
        <w:rPr>
          <w:rFonts w:ascii="Calibri" w:hAnsi="Calibri" w:cs="Calibri"/>
        </w:rPr>
      </w:pPr>
      <w:r w:rsidRPr="006C6124">
        <w:rPr>
          <w:rFonts w:ascii="Calibri" w:hAnsi="Calibri" w:cs="Calibri"/>
        </w:rPr>
        <w:t xml:space="preserve">Workplace Violence </w:t>
      </w:r>
    </w:p>
    <w:p w14:paraId="58451BA8" w14:textId="77777777" w:rsidR="0072431A" w:rsidRPr="006C6124" w:rsidRDefault="0072431A">
      <w:pPr>
        <w:numPr>
          <w:ilvl w:val="1"/>
          <w:numId w:val="48"/>
        </w:numPr>
        <w:tabs>
          <w:tab w:val="left" w:pos="1170"/>
        </w:tabs>
        <w:ind w:hanging="1080"/>
        <w:rPr>
          <w:rFonts w:ascii="Calibri" w:hAnsi="Calibri" w:cs="Calibri"/>
        </w:rPr>
      </w:pPr>
      <w:r w:rsidRPr="006C6124">
        <w:rPr>
          <w:rFonts w:ascii="Calibri" w:hAnsi="Calibri" w:cs="Calibri"/>
        </w:rPr>
        <w:t xml:space="preserve">Acknowledgements: </w:t>
      </w:r>
    </w:p>
    <w:p w14:paraId="6E42E65A" w14:textId="77777777" w:rsidR="0072431A" w:rsidRPr="006C6124" w:rsidRDefault="0072431A">
      <w:pPr>
        <w:numPr>
          <w:ilvl w:val="2"/>
          <w:numId w:val="48"/>
        </w:numPr>
        <w:tabs>
          <w:tab w:val="left" w:pos="1350"/>
        </w:tabs>
        <w:ind w:hanging="1350"/>
        <w:rPr>
          <w:rFonts w:ascii="Calibri" w:hAnsi="Calibri" w:cs="Calibri"/>
        </w:rPr>
      </w:pPr>
      <w:r w:rsidRPr="006C6124">
        <w:rPr>
          <w:rFonts w:ascii="Calibri" w:hAnsi="Calibri" w:cs="Calibri"/>
        </w:rPr>
        <w:t>Code of Ethics</w:t>
      </w:r>
    </w:p>
    <w:p w14:paraId="178C013C" w14:textId="77777777" w:rsidR="0072431A" w:rsidRPr="007F06F6" w:rsidRDefault="0072431A">
      <w:pPr>
        <w:pStyle w:val="ListParagraph"/>
        <w:numPr>
          <w:ilvl w:val="2"/>
          <w:numId w:val="48"/>
        </w:numPr>
        <w:ind w:left="1350" w:hanging="180"/>
        <w:rPr>
          <w:rFonts w:ascii="Calibri" w:hAnsi="Calibri" w:cs="Calibri"/>
        </w:rPr>
      </w:pPr>
      <w:r w:rsidRPr="007F06F6">
        <w:rPr>
          <w:rFonts w:ascii="Calibri" w:hAnsi="Calibri" w:cs="Calibri"/>
        </w:rPr>
        <w:t>Mobile Device Use Policy</w:t>
      </w:r>
    </w:p>
    <w:p w14:paraId="098DEFBD" w14:textId="33BD662F" w:rsidR="0072431A" w:rsidRPr="0058536C" w:rsidRDefault="0072431A">
      <w:pPr>
        <w:numPr>
          <w:ilvl w:val="2"/>
          <w:numId w:val="48"/>
        </w:numPr>
        <w:tabs>
          <w:tab w:val="left" w:pos="1350"/>
        </w:tabs>
        <w:spacing w:after="120" w:line="259" w:lineRule="auto"/>
        <w:ind w:hanging="1354"/>
        <w:rPr>
          <w:rFonts w:ascii="Calibri" w:hAnsi="Calibri" w:cs="Calibri"/>
        </w:rPr>
      </w:pPr>
      <w:r w:rsidRPr="006C6124">
        <w:rPr>
          <w:rFonts w:ascii="Calibri" w:hAnsi="Calibri" w:cs="Calibri"/>
        </w:rPr>
        <w:t>Workplace Violence Prohibited Policy</w:t>
      </w:r>
    </w:p>
    <w:p w14:paraId="000ABA2B" w14:textId="2782B748" w:rsidR="0058536C" w:rsidRPr="0058536C" w:rsidRDefault="0058536C" w:rsidP="00846360">
      <w:pPr>
        <w:spacing w:after="360"/>
      </w:pPr>
      <w:r w:rsidRPr="0058536C">
        <w:t>In 2021</w:t>
      </w:r>
      <w:r w:rsidR="00EC5F4E">
        <w:t>,</w:t>
      </w:r>
      <w:r w:rsidRPr="0058536C">
        <w:t xml:space="preserve"> the WDU created a full-time staff training position to develop accessible online training curriculum to ensure staff understand and apply federal and state policies, agency expectations and standards, and strategic goals and initiatives.  The trainer modified existing curriculum to meet the needs for </w:t>
      </w:r>
      <w:r w:rsidR="00846AF6">
        <w:t>onboarding</w:t>
      </w:r>
      <w:r w:rsidR="000B4753">
        <w:t xml:space="preserve"> </w:t>
      </w:r>
      <w:r w:rsidRPr="0058536C">
        <w:t>new staff, addressing ongoing training and development needs of staff requiring remedial or corrective training, and facilitation of unit wide training sessions on a regular basis.  The trainer is utilizing SharePoint and other electronic methods for sharing on-going information and opportunities for staff development through other available resources. SSB’s accessible electronic training platform</w:t>
      </w:r>
      <w:r w:rsidR="00764FA9">
        <w:t>,</w:t>
      </w:r>
      <w:r w:rsidRPr="0058536C">
        <w:t xml:space="preserve"> YesLMS</w:t>
      </w:r>
      <w:r w:rsidR="00764FA9">
        <w:t>,</w:t>
      </w:r>
      <w:r w:rsidRPr="0058536C">
        <w:t xml:space="preserve"> is an example of a resource available to staff where free optional or required training can be accessed.  In addition, staff use the policy management system, DocTract, for reading policies during onboarding, for ongoing training, and whenever they need to reference policies and procedures. We expect this outcome will result in stronger foundational competencies for new staff and overall higher levels of consistency and application of program requirements and service provision.</w:t>
      </w:r>
    </w:p>
    <w:p w14:paraId="3694AEA1" w14:textId="77777777" w:rsidR="0058536C" w:rsidRPr="0058536C" w:rsidRDefault="0058536C" w:rsidP="00846360">
      <w:pPr>
        <w:spacing w:after="360"/>
      </w:pPr>
      <w:r w:rsidRPr="0058536C">
        <w:t>SSB has begun collaborating with Vocational Rehabilitation Services (VRS) to provide training to staff and Community Partners to ensure staff are aware of best practices in the VR and blindness education fields. Agency combined trainings on the new E1MN initiate and E1PBA was an example of this new higher level of collaboration with VRS.</w:t>
      </w:r>
    </w:p>
    <w:p w14:paraId="00FC3A60" w14:textId="66FE4A46" w:rsidR="0058536C" w:rsidRPr="0058536C" w:rsidRDefault="0058536C" w:rsidP="00846360">
      <w:pPr>
        <w:spacing w:after="360"/>
      </w:pPr>
      <w:r w:rsidRPr="0058536C">
        <w:t xml:space="preserve">SSB collaborates with technology vendors who provide demonstrations to staff on new products and devices. SSB </w:t>
      </w:r>
      <w:r w:rsidR="00D76592">
        <w:t>a</w:t>
      </w:r>
      <w:r w:rsidRPr="0058536C">
        <w:t xml:space="preserve">ssistive </w:t>
      </w:r>
      <w:r w:rsidR="00D76592">
        <w:t>t</w:t>
      </w:r>
      <w:r w:rsidRPr="0058536C">
        <w:t xml:space="preserve">echnology </w:t>
      </w:r>
      <w:r w:rsidR="00D76592">
        <w:t>s</w:t>
      </w:r>
      <w:r w:rsidRPr="0058536C">
        <w:t>pecialist</w:t>
      </w:r>
      <w:r w:rsidR="003572F0">
        <w:t>s</w:t>
      </w:r>
      <w:r w:rsidRPr="0058536C">
        <w:t xml:space="preserve"> are encouraged to attend </w:t>
      </w:r>
      <w:r w:rsidR="00D76592">
        <w:t>a</w:t>
      </w:r>
      <w:r w:rsidRPr="0058536C">
        <w:t xml:space="preserve">ssistive </w:t>
      </w:r>
      <w:r w:rsidR="00D76592">
        <w:t>t</w:t>
      </w:r>
      <w:r w:rsidRPr="0058536C">
        <w:t>echnology conferences so they may stay current on the latest technology available in the field and share that knowledge with other SSB staff.  Additionally, SSB has a Technology Resource Lab that is kept up to date with current technology so customers and staff can have hands on experience with it.  </w:t>
      </w:r>
    </w:p>
    <w:p w14:paraId="70CC60B7" w14:textId="60133D5C" w:rsidR="00D0706C" w:rsidRPr="003C401D" w:rsidRDefault="0058536C" w:rsidP="00846360">
      <w:pPr>
        <w:spacing w:after="360"/>
      </w:pPr>
      <w:r w:rsidRPr="0058536C">
        <w:t xml:space="preserve">SSB is also very fortunate to have a library within our Department of Employment of Economic Development (DEED). Specialized library services provide SSB and VRS with a weekly </w:t>
      </w:r>
      <w:r w:rsidRPr="0058536C">
        <w:rPr>
          <w:i/>
          <w:iCs/>
        </w:rPr>
        <w:t xml:space="preserve">DEED Library Alert </w:t>
      </w:r>
      <w:r w:rsidRPr="0058536C">
        <w:t xml:space="preserve">which is a service to inform staff of news, </w:t>
      </w:r>
      <w:r w:rsidR="00073A6E" w:rsidRPr="0058536C">
        <w:t>research,</w:t>
      </w:r>
      <w:r w:rsidRPr="0058536C">
        <w:t xml:space="preserve"> and developments of interest.</w:t>
      </w:r>
    </w:p>
    <w:p w14:paraId="6BA7457D" w14:textId="77777777" w:rsidR="00D0706C" w:rsidRPr="006C6124" w:rsidRDefault="00D0706C">
      <w:pPr>
        <w:numPr>
          <w:ilvl w:val="0"/>
          <w:numId w:val="22"/>
        </w:numPr>
        <w:spacing w:after="160" w:line="259" w:lineRule="auto"/>
        <w:ind w:right="51"/>
        <w:contextualSpacing/>
        <w:rPr>
          <w:rFonts w:ascii="Calibri" w:eastAsia="Cambria" w:hAnsi="Calibri" w:cs="Calibri"/>
          <w:color w:val="000000"/>
        </w:rPr>
      </w:pPr>
      <w:r w:rsidRPr="006C6124">
        <w:rPr>
          <w:rFonts w:ascii="Calibri" w:eastAsia="Cambria" w:hAnsi="Calibri" w:cs="Calibri"/>
          <w:color w:val="000000"/>
        </w:rPr>
        <w:t>Description of VR agency policies</w:t>
      </w:r>
      <w:r w:rsidRPr="006C6124">
        <w:rPr>
          <w:rFonts w:ascii="Calibri" w:eastAsia="Cambria" w:hAnsi="Calibri" w:cs="Calibri"/>
          <w:color w:val="000000"/>
          <w:lang w:val="x-none"/>
        </w:rPr>
        <w:t xml:space="preserve"> and procedures for the establishment and maintenance of personnel standards consistent with section 101(a)(7)(B) to ensure that </w:t>
      </w:r>
      <w:r w:rsidRPr="006C6124">
        <w:rPr>
          <w:rFonts w:ascii="Calibri" w:eastAsia="Cambria" w:hAnsi="Calibri" w:cs="Calibri"/>
          <w:color w:val="000000"/>
        </w:rPr>
        <w:t>VR agency</w:t>
      </w:r>
      <w:r w:rsidRPr="006C6124">
        <w:rPr>
          <w:rFonts w:ascii="Calibri" w:eastAsia="Cambria" w:hAnsi="Calibri" w:cs="Calibri"/>
          <w:color w:val="000000"/>
          <w:lang w:val="x-none"/>
        </w:rPr>
        <w:t xml:space="preserve"> professional and paraprofessional personnel are adequately trained and prepared, including</w:t>
      </w:r>
      <w:r w:rsidRPr="006C6124">
        <w:rPr>
          <w:rFonts w:ascii="Calibri" w:eastAsia="Cambria" w:hAnsi="Calibri" w:cs="Calibri"/>
          <w:color w:val="000000"/>
        </w:rPr>
        <w:t xml:space="preserve">— </w:t>
      </w:r>
    </w:p>
    <w:p w14:paraId="0B21B3BD" w14:textId="77777777" w:rsidR="00D0706C" w:rsidRPr="006C6124" w:rsidRDefault="00D0706C" w:rsidP="00D0706C">
      <w:pPr>
        <w:spacing w:after="5" w:line="250" w:lineRule="auto"/>
        <w:ind w:left="10" w:right="51" w:hanging="10"/>
        <w:rPr>
          <w:rFonts w:ascii="Calibri" w:eastAsia="Cambria" w:hAnsi="Calibri" w:cs="Calibri"/>
          <w:color w:val="000000"/>
        </w:rPr>
      </w:pPr>
    </w:p>
    <w:p w14:paraId="26F91FB8" w14:textId="77777777" w:rsidR="00D0706C" w:rsidRPr="006C6124" w:rsidRDefault="00D0706C">
      <w:pPr>
        <w:numPr>
          <w:ilvl w:val="0"/>
          <w:numId w:val="26"/>
        </w:numPr>
        <w:spacing w:after="160" w:line="259" w:lineRule="auto"/>
        <w:ind w:right="58"/>
        <w:contextualSpacing/>
        <w:rPr>
          <w:rFonts w:ascii="Calibri" w:eastAsia="Cambria" w:hAnsi="Calibri" w:cs="Calibri"/>
          <w:color w:val="000000"/>
        </w:rPr>
      </w:pPr>
      <w:r w:rsidRPr="006C6124">
        <w:rPr>
          <w:rFonts w:ascii="Calibri" w:eastAsia="Cambria" w:hAnsi="Calibri" w:cs="Calibri"/>
          <w:color w:val="000000"/>
        </w:rPr>
        <w:t>Standards that are consistent with any national or State-approved or -recognized certification, licensing, registration, or other comparable requirements that apply to the profession or discipline in which such personnel are providing VR services; and</w:t>
      </w:r>
    </w:p>
    <w:p w14:paraId="3E42A950" w14:textId="77777777" w:rsidR="00D0706C" w:rsidRPr="006C6124" w:rsidRDefault="00D0706C" w:rsidP="004048A7">
      <w:pPr>
        <w:numPr>
          <w:ilvl w:val="0"/>
          <w:numId w:val="26"/>
        </w:numPr>
        <w:spacing w:after="360" w:line="259" w:lineRule="auto"/>
        <w:ind w:right="58"/>
        <w:rPr>
          <w:rFonts w:ascii="Calibri" w:eastAsia="Cambria" w:hAnsi="Calibri" w:cs="Calibri"/>
          <w:color w:val="000000"/>
        </w:rPr>
      </w:pPr>
      <w:r w:rsidRPr="006C6124">
        <w:rPr>
          <w:rFonts w:ascii="Calibri" w:eastAsia="Cambria" w:hAnsi="Calibri" w:cs="Calibri"/>
          <w:color w:val="000000"/>
        </w:rPr>
        <w:lastRenderedPageBreak/>
        <w:t>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388F3493" w14:textId="77777777" w:rsidR="003F5A94" w:rsidRPr="003F5A94" w:rsidRDefault="003F5A94" w:rsidP="0050270B">
      <w:pPr>
        <w:spacing w:after="120"/>
      </w:pPr>
      <w:r w:rsidRPr="003F5A94">
        <w:t xml:space="preserve">Policies and procedures are in place relating to the establishment and maintenance of standards to ensure personnel needed by SSB are appropriately and adequately prepared and trained. Such policies and procedures, including negotiated labor agreements with exclusive bargaining representatives, also cover the selection, retention, development, and termination of staff employed by SSB, and includes requirements of State law concerning the classification of SSB positions by Minnesota Management and Budget. </w:t>
      </w:r>
    </w:p>
    <w:p w14:paraId="68E0CB4F" w14:textId="29C2B267" w:rsidR="003F5A94" w:rsidRPr="003F5A94" w:rsidRDefault="003F5A94" w:rsidP="00A37F82">
      <w:pPr>
        <w:spacing w:after="120"/>
      </w:pPr>
      <w:r w:rsidRPr="003F5A94">
        <w:t>The academic degree standard for a vocational rehabilitation counselor at SSB is the Master's degree in rehabilitation counseling or a closely related field, with graduate-level coursework in each of the following: theories and techniques of counseling; medical/psycho-social aspects of disability</w:t>
      </w:r>
      <w:r w:rsidR="00BE0A38">
        <w:t>,</w:t>
      </w:r>
      <w:r w:rsidR="00BE0A38" w:rsidRPr="003F5A94">
        <w:t xml:space="preserve"> </w:t>
      </w:r>
      <w:r w:rsidRPr="003F5A94">
        <w:t>assessment</w:t>
      </w:r>
      <w:r w:rsidR="00BE0A38">
        <w:t>,</w:t>
      </w:r>
      <w:r w:rsidR="00BE0A38" w:rsidRPr="003F5A94">
        <w:t xml:space="preserve"> </w:t>
      </w:r>
      <w:r w:rsidRPr="003F5A94">
        <w:t xml:space="preserve">and occupational information or job placement. </w:t>
      </w:r>
    </w:p>
    <w:p w14:paraId="12E482B9" w14:textId="4D294202" w:rsidR="003F5A94" w:rsidRDefault="003F5A94" w:rsidP="005E56CB">
      <w:pPr>
        <w:spacing w:after="120"/>
      </w:pPr>
      <w:r w:rsidRPr="003F5A94">
        <w:t xml:space="preserve">SSB works closely with its Human Resources to ensure only those individuals who have earned a Master's degree in rehabilitation counseling, or a closely related field, qualify for placement on eligible lists for rehabilitation counselor. Therefore, all counselors fully meet the position standard and SSB does not have any expenditures for staff training to obtain a graduate degree in rehabilitation counseling. SSB does not anticipate any factors that would adversely affect the ability to hire qualified staff. </w:t>
      </w:r>
    </w:p>
    <w:p w14:paraId="4F7EF3CB" w14:textId="2F1F6B12" w:rsidR="004C0E9A" w:rsidRDefault="004C0E9A" w:rsidP="005E56CB">
      <w:pPr>
        <w:spacing w:after="120"/>
      </w:pPr>
      <w:r>
        <w:t xml:space="preserve">SSB does not require </w:t>
      </w:r>
      <w:r w:rsidR="00DB7FD2">
        <w:t>Certified Rehabilitation Counselor (CRC) certification</w:t>
      </w:r>
      <w:r w:rsidR="00511940">
        <w:t>;</w:t>
      </w:r>
      <w:r w:rsidR="001F1AEA">
        <w:t xml:space="preserve"> however several staff</w:t>
      </w:r>
      <w:r w:rsidR="00745643">
        <w:t xml:space="preserve"> have obtained and maintain</w:t>
      </w:r>
      <w:r w:rsidR="009C49B2">
        <w:t xml:space="preserve"> this credential</w:t>
      </w:r>
      <w:r w:rsidR="00124370">
        <w:t>.</w:t>
      </w:r>
      <w:r w:rsidR="009C49B2">
        <w:t xml:space="preserve"> </w:t>
      </w:r>
      <w:r w:rsidR="00124370">
        <w:t>M</w:t>
      </w:r>
      <w:r w:rsidR="009C49B2">
        <w:t xml:space="preserve">anagement </w:t>
      </w:r>
      <w:r w:rsidR="00124370">
        <w:t>recognizes</w:t>
      </w:r>
      <w:r w:rsidR="009C49B2">
        <w:t xml:space="preserve"> the importance of </w:t>
      </w:r>
      <w:r w:rsidR="00124370">
        <w:t xml:space="preserve">professional affiliations and </w:t>
      </w:r>
      <w:r w:rsidR="00340D35">
        <w:t>pro</w:t>
      </w:r>
      <w:r w:rsidR="00613420">
        <w:t xml:space="preserve">vides in-house and external opportunities for </w:t>
      </w:r>
      <w:r w:rsidR="001C4CF6">
        <w:t xml:space="preserve">training with CRC </w:t>
      </w:r>
      <w:r w:rsidR="00620E8E">
        <w:t xml:space="preserve">continuing education units available. </w:t>
      </w:r>
    </w:p>
    <w:p w14:paraId="23A08E77" w14:textId="3DBECBFC" w:rsidR="005E56CB" w:rsidRPr="005E56CB" w:rsidRDefault="005E56CB" w:rsidP="00644509">
      <w:pPr>
        <w:spacing w:after="60"/>
      </w:pPr>
      <w:r w:rsidRPr="005E56CB">
        <w:t xml:space="preserve">New employees come to SSB with a variety of knowledge, </w:t>
      </w:r>
      <w:r w:rsidR="004D2C82" w:rsidRPr="005E56CB">
        <w:t>skills,</w:t>
      </w:r>
      <w:r w:rsidRPr="005E56CB">
        <w:t xml:space="preserve"> and abilities. Nearly all need SSB to provide them with additional information and training to ensure they have the tools and resources to do their job. Minnesotans expect SSB to be “experts” in the field of blindness</w:t>
      </w:r>
      <w:r w:rsidR="00861897">
        <w:t>, low vision</w:t>
      </w:r>
      <w:r w:rsidR="002A7D21">
        <w:t>,</w:t>
      </w:r>
      <w:r w:rsidR="00861897">
        <w:t xml:space="preserve"> and DeafBlindness</w:t>
      </w:r>
      <w:r w:rsidRPr="005E56CB">
        <w:t>. We are the one public organization providing such services. Therefore, SSB has an obligation to train staff on the essential aspects of blindness, visual impairment, and DeafBlindness. To meet that expectation, SSB has a comprehensive training program consisting of:</w:t>
      </w:r>
    </w:p>
    <w:p w14:paraId="61862C7E" w14:textId="37BCC31F" w:rsidR="005E56CB" w:rsidRPr="005E56CB" w:rsidRDefault="005E56CB" w:rsidP="00644509">
      <w:pPr>
        <w:spacing w:after="120"/>
      </w:pPr>
      <w:r w:rsidRPr="005E56CB">
        <w:t>• Introduction to Blindness</w:t>
      </w:r>
      <w:r w:rsidR="00B5676A">
        <w:t xml:space="preserve">, </w:t>
      </w:r>
      <w:r w:rsidRPr="005E56CB">
        <w:t>Visual Impairment</w:t>
      </w:r>
      <w:r w:rsidR="00B5676A">
        <w:t>, and DeafBlindness</w:t>
      </w:r>
      <w:r w:rsidRPr="005E56CB">
        <w:t xml:space="preserve"> —PHASE I. Responsibilities of SSB staff do vary, but there are minimum requirements for all positions and are part of this course which is required of all new employees.</w:t>
      </w:r>
    </w:p>
    <w:p w14:paraId="7365BFA1" w14:textId="2D6E4B80" w:rsidR="005E56CB" w:rsidRPr="005E56CB" w:rsidRDefault="005E56CB" w:rsidP="00644509">
      <w:pPr>
        <w:spacing w:after="120"/>
      </w:pPr>
      <w:r w:rsidRPr="005E56CB">
        <w:t>• Introduction to Blindness</w:t>
      </w:r>
      <w:r w:rsidR="00B5676A">
        <w:t>,</w:t>
      </w:r>
      <w:r w:rsidRPr="005E56CB">
        <w:t xml:space="preserve"> Visual Impairment</w:t>
      </w:r>
      <w:r w:rsidR="00B5676A">
        <w:t>, and DeafBlindness</w:t>
      </w:r>
      <w:r w:rsidRPr="005E56CB">
        <w:t xml:space="preserve"> —PHASE II. “Under the blindfold” and with simulators are training activities which will be required of some new staff as determined by SSB management.</w:t>
      </w:r>
    </w:p>
    <w:p w14:paraId="217565DF" w14:textId="30778A25" w:rsidR="005E56CB" w:rsidRPr="005E56CB" w:rsidRDefault="005E56CB" w:rsidP="00644509">
      <w:pPr>
        <w:spacing w:after="120"/>
      </w:pPr>
      <w:r w:rsidRPr="005E56CB">
        <w:t>• Continuing Education in Blindness</w:t>
      </w:r>
      <w:r w:rsidR="00B5676A">
        <w:t xml:space="preserve">, </w:t>
      </w:r>
      <w:r w:rsidRPr="005E56CB">
        <w:t>Visual Impairment</w:t>
      </w:r>
      <w:r w:rsidR="00B5676A">
        <w:t>, and DeafBlindness</w:t>
      </w:r>
      <w:r w:rsidRPr="005E56CB">
        <w:t xml:space="preserve"> —PHASE III. Training consists of specialized and ongoing training related to blindness and vision loss and will be required of staff as determined by SSB management.</w:t>
      </w:r>
    </w:p>
    <w:p w14:paraId="4BCE7E7F" w14:textId="6D940009" w:rsidR="00723BC6" w:rsidRPr="00122EFB" w:rsidRDefault="005E56CB" w:rsidP="00701152">
      <w:pPr>
        <w:spacing w:after="360"/>
      </w:pPr>
      <w:r w:rsidRPr="005E56CB">
        <w:t xml:space="preserve">SSB ensures that personnel </w:t>
      </w:r>
      <w:r w:rsidR="00EB5A58" w:rsidRPr="005E56CB">
        <w:t>understand</w:t>
      </w:r>
      <w:r w:rsidRPr="005E56CB">
        <w:t xml:space="preserve"> the evolving labor force. Minnesota’s Labor Market Information Office within the Department of Employment and Economic Development (DEED) collects employment, </w:t>
      </w:r>
      <w:r w:rsidR="0095786C" w:rsidRPr="005E56CB">
        <w:t>wage,</w:t>
      </w:r>
      <w:r w:rsidRPr="005E56CB">
        <w:t xml:space="preserve"> and industry information from throughout the state, then analyzes it to provide information employers and others can use to make decisions and </w:t>
      </w:r>
      <w:r w:rsidR="00D9200B" w:rsidRPr="005E56CB">
        <w:t>plan</w:t>
      </w:r>
      <w:r w:rsidRPr="005E56CB">
        <w:t>. SSB uses the Labor Market Information Office to provide labor market training to its personnel. Other opportunities exist for staff to participate in</w:t>
      </w:r>
      <w:r w:rsidR="0082696C">
        <w:t xml:space="preserve"> training</w:t>
      </w:r>
      <w:r w:rsidRPr="005E56CB">
        <w:t xml:space="preserve"> such as</w:t>
      </w:r>
      <w:r w:rsidR="00747CFE">
        <w:t>:</w:t>
      </w:r>
      <w:r w:rsidRPr="005E56CB">
        <w:t xml:space="preserve"> area or city specific Business Engagement Networks or other specialized trainings.  </w:t>
      </w:r>
    </w:p>
    <w:p w14:paraId="0FA1C0C9" w14:textId="77777777" w:rsidR="00D0706C" w:rsidRPr="006C6124" w:rsidRDefault="00D0706C">
      <w:pPr>
        <w:widowControl w:val="0"/>
        <w:numPr>
          <w:ilvl w:val="0"/>
          <w:numId w:val="22"/>
        </w:numPr>
        <w:spacing w:before="240" w:after="160" w:line="259" w:lineRule="auto"/>
        <w:ind w:right="58"/>
        <w:rPr>
          <w:rFonts w:ascii="Calibri" w:eastAsia="Cambria" w:hAnsi="Calibri" w:cs="Calibri"/>
          <w:color w:val="000000"/>
        </w:rPr>
      </w:pPr>
      <w:r w:rsidRPr="006C6124">
        <w:rPr>
          <w:rFonts w:ascii="Calibri" w:eastAsia="Cambria" w:hAnsi="Calibri" w:cs="Calibri"/>
          <w:color w:val="000000"/>
        </w:rPr>
        <w:t>Method(s) the VR agency uses to ensure that personnel are able to communicate in appropriate modes of communication with or in the native language of applicants or eligible individuals who have limited English speaking ability.</w:t>
      </w:r>
    </w:p>
    <w:p w14:paraId="72476FC6" w14:textId="77777777" w:rsidR="00C82A8B" w:rsidRPr="006C6124" w:rsidRDefault="00C82A8B" w:rsidP="00D0706C">
      <w:pPr>
        <w:spacing w:after="160" w:line="259" w:lineRule="auto"/>
        <w:ind w:left="360" w:right="51" w:hanging="10"/>
        <w:contextualSpacing/>
        <w:rPr>
          <w:rFonts w:ascii="Calibri" w:eastAsia="Cambria" w:hAnsi="Calibri" w:cs="Calibri"/>
          <w:color w:val="000000"/>
        </w:rPr>
      </w:pPr>
    </w:p>
    <w:p w14:paraId="7EE75E0C" w14:textId="759B4ECC" w:rsidR="007B00FB" w:rsidRPr="006C6124" w:rsidRDefault="007B00FB" w:rsidP="007B00FB">
      <w:pPr>
        <w:spacing w:after="160" w:line="259" w:lineRule="auto"/>
        <w:ind w:left="360" w:right="51" w:hanging="10"/>
        <w:contextualSpacing/>
        <w:rPr>
          <w:rFonts w:ascii="Calibri" w:eastAsia="Cambria" w:hAnsi="Calibri" w:cs="Calibri"/>
          <w:color w:val="000000"/>
        </w:rPr>
      </w:pPr>
      <w:r w:rsidRPr="006C6124">
        <w:rPr>
          <w:rFonts w:ascii="Calibri" w:eastAsia="Cambria" w:hAnsi="Calibri" w:cs="Calibri"/>
          <w:color w:val="000000"/>
        </w:rPr>
        <w:t>SSB assures that all materials are available to staff in the</w:t>
      </w:r>
      <w:r w:rsidR="00AF6572">
        <w:rPr>
          <w:rFonts w:ascii="Calibri" w:eastAsia="Cambria" w:hAnsi="Calibri" w:cs="Calibri"/>
          <w:color w:val="000000"/>
        </w:rPr>
        <w:t>ir</w:t>
      </w:r>
      <w:r w:rsidRPr="006C6124">
        <w:rPr>
          <w:rFonts w:ascii="Calibri" w:eastAsia="Cambria" w:hAnsi="Calibri" w:cs="Calibri"/>
          <w:color w:val="000000"/>
        </w:rPr>
        <w:t xml:space="preserve"> desired format. Print material is made available to staff in braille and other alternate formats</w:t>
      </w:r>
      <w:r w:rsidR="00936ED5">
        <w:rPr>
          <w:rFonts w:ascii="Calibri" w:eastAsia="Cambria" w:hAnsi="Calibri" w:cs="Calibri"/>
          <w:color w:val="000000"/>
        </w:rPr>
        <w:t xml:space="preserve"> such as print </w:t>
      </w:r>
      <w:r w:rsidR="00ED328D">
        <w:rPr>
          <w:rFonts w:ascii="Calibri" w:eastAsia="Cambria" w:hAnsi="Calibri" w:cs="Calibri"/>
          <w:color w:val="000000"/>
        </w:rPr>
        <w:t xml:space="preserve">in native language, </w:t>
      </w:r>
      <w:r w:rsidR="00A458ED">
        <w:rPr>
          <w:rFonts w:ascii="Calibri" w:eastAsia="Cambria" w:hAnsi="Calibri" w:cs="Calibri"/>
          <w:color w:val="000000"/>
        </w:rPr>
        <w:t xml:space="preserve">large print, </w:t>
      </w:r>
      <w:r w:rsidR="001C38E6">
        <w:rPr>
          <w:rFonts w:ascii="Calibri" w:eastAsia="Cambria" w:hAnsi="Calibri" w:cs="Calibri"/>
          <w:color w:val="000000"/>
        </w:rPr>
        <w:t xml:space="preserve">and </w:t>
      </w:r>
      <w:r w:rsidR="00ED328D">
        <w:rPr>
          <w:rFonts w:ascii="Calibri" w:eastAsia="Cambria" w:hAnsi="Calibri" w:cs="Calibri"/>
          <w:color w:val="000000"/>
        </w:rPr>
        <w:t>electronic</w:t>
      </w:r>
      <w:r w:rsidRPr="006C6124">
        <w:rPr>
          <w:rFonts w:ascii="Calibri" w:eastAsia="Cambria" w:hAnsi="Calibri" w:cs="Calibri"/>
          <w:color w:val="000000"/>
        </w:rPr>
        <w:t xml:space="preserve">. SSB is fortunate to have </w:t>
      </w:r>
      <w:r w:rsidR="00170ECF">
        <w:rPr>
          <w:rFonts w:ascii="Calibri" w:eastAsia="Cambria" w:hAnsi="Calibri" w:cs="Calibri"/>
          <w:color w:val="000000"/>
        </w:rPr>
        <w:t>B</w:t>
      </w:r>
      <w:r w:rsidRPr="006C6124">
        <w:rPr>
          <w:rFonts w:ascii="Calibri" w:eastAsia="Cambria" w:hAnsi="Calibri" w:cs="Calibri"/>
          <w:color w:val="000000"/>
        </w:rPr>
        <w:t xml:space="preserve">raille </w:t>
      </w:r>
      <w:r w:rsidR="00170ECF">
        <w:rPr>
          <w:rFonts w:ascii="Calibri" w:eastAsia="Cambria" w:hAnsi="Calibri" w:cs="Calibri"/>
          <w:color w:val="000000"/>
        </w:rPr>
        <w:t xml:space="preserve">and Audio </w:t>
      </w:r>
      <w:r w:rsidR="006839FA">
        <w:rPr>
          <w:rFonts w:ascii="Calibri" w:eastAsia="Cambria" w:hAnsi="Calibri" w:cs="Calibri"/>
          <w:color w:val="000000"/>
        </w:rPr>
        <w:t>s</w:t>
      </w:r>
      <w:r w:rsidRPr="006C6124">
        <w:rPr>
          <w:rFonts w:ascii="Calibri" w:eastAsia="Cambria" w:hAnsi="Calibri" w:cs="Calibri"/>
          <w:color w:val="000000"/>
        </w:rPr>
        <w:t>ervices onsite and can produce high quality Braille</w:t>
      </w:r>
      <w:r w:rsidR="006839FA">
        <w:rPr>
          <w:rFonts w:ascii="Calibri" w:eastAsia="Cambria" w:hAnsi="Calibri" w:cs="Calibri"/>
          <w:color w:val="000000"/>
        </w:rPr>
        <w:t xml:space="preserve"> and digital recordings</w:t>
      </w:r>
      <w:r w:rsidRPr="006C6124">
        <w:rPr>
          <w:rFonts w:ascii="Calibri" w:eastAsia="Cambria" w:hAnsi="Calibri" w:cs="Calibri"/>
          <w:color w:val="000000"/>
        </w:rPr>
        <w:t xml:space="preserve"> in short timeframes. Minnesota is also fortunate to have several spoken and written language</w:t>
      </w:r>
      <w:r w:rsidR="00092144">
        <w:rPr>
          <w:rFonts w:ascii="Calibri" w:eastAsia="Cambria" w:hAnsi="Calibri" w:cs="Calibri"/>
          <w:color w:val="000000"/>
        </w:rPr>
        <w:t xml:space="preserve"> transcription </w:t>
      </w:r>
      <w:r w:rsidR="00031AF0">
        <w:rPr>
          <w:rFonts w:ascii="Calibri" w:eastAsia="Cambria" w:hAnsi="Calibri" w:cs="Calibri"/>
          <w:color w:val="000000"/>
        </w:rPr>
        <w:t>services as well as</w:t>
      </w:r>
      <w:r w:rsidRPr="006C6124">
        <w:rPr>
          <w:rFonts w:ascii="Calibri" w:eastAsia="Cambria" w:hAnsi="Calibri" w:cs="Calibri"/>
          <w:color w:val="000000"/>
        </w:rPr>
        <w:t xml:space="preserve"> American Sign Language </w:t>
      </w:r>
      <w:r w:rsidR="00031AF0">
        <w:rPr>
          <w:rFonts w:ascii="Calibri" w:eastAsia="Cambria" w:hAnsi="Calibri" w:cs="Calibri"/>
          <w:color w:val="000000"/>
        </w:rPr>
        <w:t xml:space="preserve">and Tactile Sign Language </w:t>
      </w:r>
      <w:r w:rsidRPr="006C6124">
        <w:rPr>
          <w:rFonts w:ascii="Calibri" w:eastAsia="Cambria" w:hAnsi="Calibri" w:cs="Calibri"/>
          <w:color w:val="000000"/>
        </w:rPr>
        <w:t xml:space="preserve">interpreter services available who contract with the </w:t>
      </w:r>
      <w:r w:rsidRPr="006C6124">
        <w:rPr>
          <w:rFonts w:ascii="Calibri" w:eastAsia="Cambria" w:hAnsi="Calibri" w:cs="Calibri"/>
          <w:color w:val="000000"/>
        </w:rPr>
        <w:lastRenderedPageBreak/>
        <w:t>State for use with non-English speaking individuals and/or DeafBlind individuals.</w:t>
      </w:r>
      <w:r w:rsidR="00966305">
        <w:rPr>
          <w:rFonts w:ascii="Calibri" w:eastAsia="Cambria" w:hAnsi="Calibri" w:cs="Calibri"/>
          <w:color w:val="000000"/>
        </w:rPr>
        <w:t xml:space="preserve"> </w:t>
      </w:r>
      <w:r w:rsidR="00843905">
        <w:rPr>
          <w:rFonts w:ascii="Calibri" w:eastAsia="Cambria" w:hAnsi="Calibri" w:cs="Calibri"/>
          <w:color w:val="000000"/>
        </w:rPr>
        <w:t xml:space="preserve">Communication Access Real-time Translation (CART) services </w:t>
      </w:r>
      <w:r w:rsidR="00514502">
        <w:rPr>
          <w:rFonts w:ascii="Calibri" w:eastAsia="Cambria" w:hAnsi="Calibri" w:cs="Calibri"/>
          <w:color w:val="000000"/>
        </w:rPr>
        <w:t>is another</w:t>
      </w:r>
      <w:r w:rsidR="00843905">
        <w:rPr>
          <w:rFonts w:ascii="Calibri" w:eastAsia="Cambria" w:hAnsi="Calibri" w:cs="Calibri"/>
          <w:color w:val="000000"/>
        </w:rPr>
        <w:t xml:space="preserve"> </w:t>
      </w:r>
      <w:r w:rsidR="00FF31DB">
        <w:rPr>
          <w:rFonts w:ascii="Calibri" w:eastAsia="Cambria" w:hAnsi="Calibri" w:cs="Calibri"/>
          <w:color w:val="000000"/>
        </w:rPr>
        <w:t>available</w:t>
      </w:r>
      <w:r w:rsidR="00514502">
        <w:rPr>
          <w:rFonts w:ascii="Calibri" w:eastAsia="Cambria" w:hAnsi="Calibri" w:cs="Calibri"/>
          <w:color w:val="000000"/>
        </w:rPr>
        <w:t xml:space="preserve"> option</w:t>
      </w:r>
      <w:r w:rsidR="00FF31DB">
        <w:rPr>
          <w:rFonts w:ascii="Calibri" w:eastAsia="Cambria" w:hAnsi="Calibri" w:cs="Calibri"/>
          <w:color w:val="000000"/>
        </w:rPr>
        <w:t xml:space="preserve"> through </w:t>
      </w:r>
      <w:r w:rsidR="002B1C66">
        <w:rPr>
          <w:rFonts w:ascii="Calibri" w:eastAsia="Cambria" w:hAnsi="Calibri" w:cs="Calibri"/>
          <w:color w:val="000000"/>
        </w:rPr>
        <w:t xml:space="preserve">state </w:t>
      </w:r>
      <w:r w:rsidR="00FF31DB">
        <w:rPr>
          <w:rFonts w:ascii="Calibri" w:eastAsia="Cambria" w:hAnsi="Calibri" w:cs="Calibri"/>
          <w:color w:val="000000"/>
        </w:rPr>
        <w:t xml:space="preserve">contract </w:t>
      </w:r>
      <w:r w:rsidR="00514502">
        <w:rPr>
          <w:rFonts w:ascii="Calibri" w:eastAsia="Cambria" w:hAnsi="Calibri" w:cs="Calibri"/>
          <w:color w:val="000000"/>
        </w:rPr>
        <w:t xml:space="preserve">to ensure </w:t>
      </w:r>
      <w:r w:rsidR="00E301FA">
        <w:rPr>
          <w:rFonts w:ascii="Calibri" w:eastAsia="Cambria" w:hAnsi="Calibri" w:cs="Calibri"/>
          <w:color w:val="000000"/>
        </w:rPr>
        <w:t xml:space="preserve">communication </w:t>
      </w:r>
      <w:r w:rsidR="00C615B6">
        <w:rPr>
          <w:rFonts w:ascii="Calibri" w:eastAsia="Cambria" w:hAnsi="Calibri" w:cs="Calibri"/>
          <w:color w:val="000000"/>
        </w:rPr>
        <w:t>access.</w:t>
      </w:r>
      <w:r w:rsidR="00514502">
        <w:rPr>
          <w:rFonts w:ascii="Calibri" w:eastAsia="Cambria" w:hAnsi="Calibri" w:cs="Calibri"/>
          <w:color w:val="000000"/>
        </w:rPr>
        <w:t xml:space="preserve"> </w:t>
      </w:r>
      <w:r w:rsidR="00FF31DB">
        <w:rPr>
          <w:rFonts w:ascii="Calibri" w:eastAsia="Cambria" w:hAnsi="Calibri" w:cs="Calibri"/>
          <w:color w:val="000000"/>
        </w:rPr>
        <w:t xml:space="preserve"> </w:t>
      </w:r>
    </w:p>
    <w:p w14:paraId="66BD154F" w14:textId="77777777" w:rsidR="007B00FB" w:rsidRPr="006C6124" w:rsidRDefault="007B00FB" w:rsidP="00D0706C">
      <w:pPr>
        <w:spacing w:after="160" w:line="259" w:lineRule="auto"/>
        <w:ind w:left="360" w:right="51" w:hanging="10"/>
        <w:contextualSpacing/>
        <w:rPr>
          <w:rFonts w:ascii="Calibri" w:eastAsia="Cambria" w:hAnsi="Calibri" w:cs="Calibri"/>
          <w:color w:val="000000"/>
        </w:rPr>
      </w:pPr>
    </w:p>
    <w:p w14:paraId="481AE6F8" w14:textId="77777777" w:rsidR="00D0706C" w:rsidRPr="006C6124" w:rsidRDefault="00D0706C" w:rsidP="00D0706C">
      <w:pPr>
        <w:spacing w:after="160" w:line="259" w:lineRule="auto"/>
        <w:ind w:left="360" w:right="51" w:hanging="10"/>
        <w:contextualSpacing/>
        <w:rPr>
          <w:rFonts w:ascii="Calibri" w:eastAsia="Cambria" w:hAnsi="Calibri" w:cs="Calibri"/>
          <w:color w:val="000000"/>
        </w:rPr>
      </w:pPr>
    </w:p>
    <w:p w14:paraId="4B1B9335" w14:textId="532654CC" w:rsidR="00D0706C" w:rsidRPr="006C6124" w:rsidRDefault="00D0706C" w:rsidP="006E6C94">
      <w:pPr>
        <w:numPr>
          <w:ilvl w:val="0"/>
          <w:numId w:val="22"/>
        </w:numPr>
        <w:spacing w:after="240" w:line="259" w:lineRule="auto"/>
        <w:ind w:right="58"/>
        <w:contextualSpacing/>
        <w:rPr>
          <w:rFonts w:ascii="Calibri" w:eastAsia="Cambria" w:hAnsi="Calibri" w:cs="Calibri"/>
          <w:color w:val="000000"/>
        </w:rPr>
      </w:pPr>
      <w:r w:rsidRPr="006C6124">
        <w:rPr>
          <w:rFonts w:ascii="Calibri" w:eastAsia="Cambria" w:hAnsi="Calibri" w:cs="Calibri"/>
          <w:color w:val="000000"/>
        </w:rPr>
        <w:t>As appropriate, describe the procedures and activities to coordinate the designated State unit's comprehensive system of personnel development with personnel development under the Individuals with Disabilities Education Act.</w:t>
      </w:r>
      <w:r w:rsidR="006A1E09">
        <w:rPr>
          <w:rFonts w:ascii="Calibri" w:eastAsia="Cambria" w:hAnsi="Calibri" w:cs="Calibri"/>
          <w:color w:val="000000"/>
        </w:rPr>
        <w:t xml:space="preserve"> </w:t>
      </w:r>
    </w:p>
    <w:p w14:paraId="7170E90B" w14:textId="12F958BD" w:rsidR="00CA6701" w:rsidRDefault="00887E3D">
      <w:pPr>
        <w:pStyle w:val="xmsonormal"/>
        <w:numPr>
          <w:ilvl w:val="0"/>
          <w:numId w:val="49"/>
        </w:numPr>
        <w:rPr>
          <w:rFonts w:eastAsia="Times New Roman"/>
        </w:rPr>
      </w:pPr>
      <w:r w:rsidRPr="00887E3D">
        <w:rPr>
          <w:rFonts w:eastAsia="Times New Roman"/>
        </w:rPr>
        <w:t>SSB regularly provides optional and required in</w:t>
      </w:r>
      <w:r w:rsidR="00BE70B5">
        <w:rPr>
          <w:rFonts w:eastAsia="Times New Roman"/>
        </w:rPr>
        <w:t>-</w:t>
      </w:r>
      <w:r w:rsidRPr="00887E3D">
        <w:rPr>
          <w:rFonts w:eastAsia="Times New Roman"/>
        </w:rPr>
        <w:t>house staff training in the areas of Pre-ETS and working with youth to ensure all staff receive appropriate and adequate training and continuing education including any additional guidance provided by RSA. Additional training opportunities outside of SSB are encouraged and supported.</w:t>
      </w:r>
    </w:p>
    <w:p w14:paraId="3F00C1B2" w14:textId="02CE1358" w:rsidR="00306ED9" w:rsidRPr="006C6124" w:rsidRDefault="00306ED9">
      <w:pPr>
        <w:pStyle w:val="xmsonormal"/>
        <w:numPr>
          <w:ilvl w:val="0"/>
          <w:numId w:val="49"/>
        </w:numPr>
        <w:rPr>
          <w:rFonts w:eastAsia="Times New Roman"/>
        </w:rPr>
      </w:pPr>
      <w:r w:rsidRPr="006C6124">
        <w:rPr>
          <w:rFonts w:eastAsia="Times New Roman"/>
        </w:rPr>
        <w:t>Counselors may be asked to make presentations at staff meetings in areas of their expertise which</w:t>
      </w:r>
      <w:r w:rsidR="004A1905">
        <w:rPr>
          <w:rFonts w:eastAsia="Times New Roman"/>
        </w:rPr>
        <w:t xml:space="preserve"> include</w:t>
      </w:r>
      <w:r w:rsidRPr="006C6124">
        <w:rPr>
          <w:rFonts w:eastAsia="Times New Roman"/>
        </w:rPr>
        <w:t xml:space="preserve"> DeafBlind best practices, person centered services, motivational interviewing, and transition best practices.</w:t>
      </w:r>
    </w:p>
    <w:p w14:paraId="1B13A262" w14:textId="2B2DCB91" w:rsidR="00306ED9" w:rsidRPr="006C6124" w:rsidRDefault="00306ED9">
      <w:pPr>
        <w:pStyle w:val="xmsonormal"/>
        <w:numPr>
          <w:ilvl w:val="0"/>
          <w:numId w:val="49"/>
        </w:numPr>
        <w:rPr>
          <w:rFonts w:eastAsia="Times New Roman"/>
        </w:rPr>
      </w:pPr>
      <w:r w:rsidRPr="006C6124">
        <w:rPr>
          <w:rFonts w:eastAsia="Times New Roman"/>
        </w:rPr>
        <w:t xml:space="preserve">SSB </w:t>
      </w:r>
      <w:r w:rsidR="00F632D2">
        <w:rPr>
          <w:rFonts w:eastAsia="Times New Roman"/>
        </w:rPr>
        <w:t>employment</w:t>
      </w:r>
      <w:r w:rsidRPr="006C6124">
        <w:rPr>
          <w:rFonts w:eastAsia="Times New Roman"/>
        </w:rPr>
        <w:t xml:space="preserve">, assistive technology, and counseling staff work with other Minnesota state departments on the hiring and integration into their workplaces of blind, visually impaired, and DeafBlind individuals as part of achieving </w:t>
      </w:r>
      <w:r w:rsidR="000A69C9">
        <w:rPr>
          <w:rFonts w:eastAsia="Times New Roman"/>
        </w:rPr>
        <w:t xml:space="preserve">the </w:t>
      </w:r>
      <w:r w:rsidRPr="006C6124">
        <w:rPr>
          <w:rFonts w:eastAsia="Times New Roman"/>
        </w:rPr>
        <w:t>Minnesota Governor’s executive order for increasing the number of employees with disabilities in the state government workforce.</w:t>
      </w:r>
    </w:p>
    <w:p w14:paraId="5B493F79" w14:textId="4ED19723" w:rsidR="00306ED9" w:rsidRPr="006C6124" w:rsidRDefault="00306ED9">
      <w:pPr>
        <w:pStyle w:val="xmsonormal"/>
        <w:numPr>
          <w:ilvl w:val="0"/>
          <w:numId w:val="49"/>
        </w:numPr>
        <w:rPr>
          <w:rFonts w:eastAsia="Times New Roman"/>
        </w:rPr>
      </w:pPr>
      <w:r w:rsidRPr="006C6124">
        <w:rPr>
          <w:rFonts w:eastAsia="Times New Roman"/>
        </w:rPr>
        <w:t xml:space="preserve">SSB staff provided training </w:t>
      </w:r>
      <w:r w:rsidR="00D45907">
        <w:rPr>
          <w:rFonts w:eastAsia="Times New Roman"/>
        </w:rPr>
        <w:t>to</w:t>
      </w:r>
      <w:r w:rsidRPr="006C6124">
        <w:rPr>
          <w:rFonts w:eastAsia="Times New Roman"/>
        </w:rPr>
        <w:t xml:space="preserve"> educators on the Employment </w:t>
      </w:r>
      <w:r w:rsidR="00901E24">
        <w:rPr>
          <w:rFonts w:eastAsia="Times New Roman"/>
        </w:rPr>
        <w:t>First</w:t>
      </w:r>
      <w:r w:rsidR="00901E24" w:rsidRPr="006C6124">
        <w:rPr>
          <w:rFonts w:eastAsia="Times New Roman"/>
        </w:rPr>
        <w:t xml:space="preserve"> </w:t>
      </w:r>
      <w:r w:rsidRPr="006C6124">
        <w:rPr>
          <w:rFonts w:eastAsia="Times New Roman"/>
        </w:rPr>
        <w:t>Minnesota (E1MN) initiative, which activate interagency collaboration for student success.</w:t>
      </w:r>
    </w:p>
    <w:p w14:paraId="73C0105B" w14:textId="77777777" w:rsidR="00830359" w:rsidRDefault="00306ED9">
      <w:pPr>
        <w:pStyle w:val="xmsonormal"/>
        <w:numPr>
          <w:ilvl w:val="0"/>
          <w:numId w:val="49"/>
        </w:numPr>
        <w:rPr>
          <w:rFonts w:eastAsia="Times New Roman"/>
        </w:rPr>
      </w:pPr>
      <w:r w:rsidRPr="006C6124">
        <w:rPr>
          <w:rFonts w:eastAsia="Times New Roman"/>
        </w:rPr>
        <w:t xml:space="preserve">SSB staff participated in monthly trainings for educators through </w:t>
      </w:r>
      <w:r w:rsidR="003656C3">
        <w:rPr>
          <w:rFonts w:eastAsia="Times New Roman"/>
        </w:rPr>
        <w:t xml:space="preserve">state-wide communities of practice, </w:t>
      </w:r>
      <w:r w:rsidRPr="006C6124">
        <w:rPr>
          <w:rFonts w:eastAsia="Times New Roman"/>
        </w:rPr>
        <w:t xml:space="preserve">Minnesota Access Center Office Hours, </w:t>
      </w:r>
      <w:r w:rsidR="00617071">
        <w:rPr>
          <w:rFonts w:eastAsia="Times New Roman"/>
        </w:rPr>
        <w:t>(</w:t>
      </w:r>
      <w:r w:rsidRPr="006C6124">
        <w:rPr>
          <w:rFonts w:eastAsia="Times New Roman"/>
        </w:rPr>
        <w:t>sponsored by Minnesota Department of Education</w:t>
      </w:r>
      <w:r w:rsidR="00617071">
        <w:rPr>
          <w:rFonts w:eastAsia="Times New Roman"/>
        </w:rPr>
        <w:t xml:space="preserve">), regional meetings hosted by regional low-incidence facilitators, and other </w:t>
      </w:r>
      <w:r w:rsidR="00830359">
        <w:rPr>
          <w:rFonts w:eastAsia="Times New Roman"/>
        </w:rPr>
        <w:t>state-wide professional conferences and workshops.</w:t>
      </w:r>
    </w:p>
    <w:p w14:paraId="5DDD5A37" w14:textId="2FB0E3D4" w:rsidR="002949BF" w:rsidRDefault="00830359">
      <w:pPr>
        <w:pStyle w:val="xmsonormal"/>
        <w:numPr>
          <w:ilvl w:val="0"/>
          <w:numId w:val="49"/>
        </w:numPr>
        <w:rPr>
          <w:rFonts w:eastAsia="Times New Roman"/>
        </w:rPr>
      </w:pPr>
      <w:r>
        <w:rPr>
          <w:rFonts w:eastAsia="Times New Roman"/>
        </w:rPr>
        <w:t>SSB has a Pre-ETS resources toolkit for counselors state-wide. The toolkit list</w:t>
      </w:r>
      <w:r w:rsidR="00FC7D14">
        <w:rPr>
          <w:rFonts w:eastAsia="Times New Roman"/>
        </w:rPr>
        <w:t>s</w:t>
      </w:r>
      <w:r>
        <w:rPr>
          <w:rFonts w:eastAsia="Times New Roman"/>
        </w:rPr>
        <w:t xml:space="preserve"> specific</w:t>
      </w:r>
      <w:r w:rsidR="002949BF">
        <w:rPr>
          <w:rFonts w:eastAsia="Times New Roman"/>
        </w:rPr>
        <w:t xml:space="preserve"> resources in each of the five required Pre-ETS activities.</w:t>
      </w:r>
    </w:p>
    <w:p w14:paraId="2F83252F" w14:textId="77777777" w:rsidR="00CA65E6" w:rsidRDefault="00847066">
      <w:pPr>
        <w:pStyle w:val="xmsonormal"/>
        <w:numPr>
          <w:ilvl w:val="0"/>
          <w:numId w:val="49"/>
        </w:numPr>
        <w:rPr>
          <w:rFonts w:eastAsia="Times New Roman"/>
        </w:rPr>
      </w:pPr>
      <w:r>
        <w:rPr>
          <w:rFonts w:eastAsia="Times New Roman"/>
        </w:rPr>
        <w:t>SSB collaborates with Work-Based Learning Coordinators to better align the schools’ work planning and the voca</w:t>
      </w:r>
      <w:r w:rsidR="00CA65E6">
        <w:rPr>
          <w:rFonts w:eastAsia="Times New Roman"/>
        </w:rPr>
        <w:t xml:space="preserve">tional rehabilitation program. </w:t>
      </w:r>
    </w:p>
    <w:p w14:paraId="541D8F60" w14:textId="77777777" w:rsidR="002B76A9" w:rsidRDefault="00CA65E6">
      <w:pPr>
        <w:pStyle w:val="xmsonormal"/>
        <w:numPr>
          <w:ilvl w:val="0"/>
          <w:numId w:val="49"/>
        </w:numPr>
        <w:rPr>
          <w:rFonts w:eastAsia="Times New Roman"/>
        </w:rPr>
      </w:pPr>
      <w:r>
        <w:rPr>
          <w:rFonts w:eastAsia="Times New Roman"/>
        </w:rPr>
        <w:t xml:space="preserve">The Work Opportunity Navigators will train and consult with employers to provide guidance about </w:t>
      </w:r>
      <w:r w:rsidR="002B76A9">
        <w:rPr>
          <w:rFonts w:eastAsia="Times New Roman"/>
        </w:rPr>
        <w:t xml:space="preserve">adding student interns and workers who may be blind, visually impaired, and Deafblind to their workforce. </w:t>
      </w:r>
    </w:p>
    <w:p w14:paraId="3062E9F3" w14:textId="77777777" w:rsidR="0036018E" w:rsidRPr="006C6124" w:rsidRDefault="0036018E" w:rsidP="002B76A9">
      <w:pPr>
        <w:spacing w:after="160" w:line="259" w:lineRule="auto"/>
        <w:ind w:right="51"/>
        <w:contextualSpacing/>
        <w:rPr>
          <w:rFonts w:ascii="Calibri" w:eastAsia="Calibri" w:hAnsi="Calibri" w:cs="Calibri"/>
          <w:color w:val="000000"/>
          <w:lang w:eastAsia="x-none"/>
        </w:rPr>
      </w:pPr>
    </w:p>
    <w:p w14:paraId="08359CAC" w14:textId="77777777" w:rsidR="00D0706C" w:rsidRPr="006C6124" w:rsidRDefault="00D0706C" w:rsidP="00D0706C">
      <w:pPr>
        <w:spacing w:after="5" w:line="250" w:lineRule="auto"/>
        <w:ind w:left="10" w:right="51" w:hanging="10"/>
        <w:rPr>
          <w:rFonts w:ascii="Calibri" w:eastAsia="Calibri" w:hAnsi="Calibri" w:cs="Calibri"/>
          <w:b/>
          <w:bCs/>
          <w:color w:val="000000"/>
          <w:u w:val="single"/>
          <w:lang w:eastAsia="x-none"/>
        </w:rPr>
      </w:pPr>
    </w:p>
    <w:p w14:paraId="0BC820DE" w14:textId="77777777" w:rsidR="00D0706C" w:rsidRPr="006C6124" w:rsidRDefault="00D0706C" w:rsidP="00D0706C">
      <w:pPr>
        <w:spacing w:after="5" w:line="250" w:lineRule="auto"/>
        <w:ind w:left="10" w:right="51" w:hanging="10"/>
        <w:rPr>
          <w:rFonts w:ascii="Calibri" w:eastAsia="Calibri" w:hAnsi="Calibri" w:cs="Calibri"/>
          <w:b/>
          <w:color w:val="000000"/>
          <w:lang w:val="x-none" w:eastAsia="x-none"/>
        </w:rPr>
      </w:pPr>
      <w:r w:rsidRPr="006C6124">
        <w:rPr>
          <w:rFonts w:ascii="Calibri" w:eastAsia="Calibri" w:hAnsi="Calibri" w:cs="Calibri"/>
          <w:b/>
          <w:bCs/>
          <w:color w:val="000000"/>
          <w:u w:val="single"/>
          <w:lang w:eastAsia="x-none"/>
        </w:rPr>
        <w:t>COOPERATION, COLLABORATION, AND COORDINATION</w:t>
      </w:r>
      <w:r w:rsidRPr="006C6124">
        <w:rPr>
          <w:rFonts w:ascii="Calibri" w:eastAsia="Calibri" w:hAnsi="Calibri" w:cs="Calibri"/>
          <w:b/>
          <w:bCs/>
          <w:color w:val="000000"/>
          <w:lang w:eastAsia="x-none"/>
        </w:rPr>
        <w:t xml:space="preserve"> (Section 101(a)(11) of the Rehabilitation Act)</w:t>
      </w:r>
    </w:p>
    <w:p w14:paraId="17A1A8D6" w14:textId="77777777" w:rsidR="00D0706C" w:rsidRPr="006C6124" w:rsidRDefault="00D0706C" w:rsidP="00D0706C">
      <w:pPr>
        <w:spacing w:after="5" w:line="250" w:lineRule="auto"/>
        <w:ind w:left="360" w:right="51" w:hanging="10"/>
        <w:rPr>
          <w:rFonts w:ascii="Calibri" w:eastAsia="Calibri" w:hAnsi="Calibri" w:cs="Calibri"/>
          <w:b/>
          <w:bCs/>
          <w:color w:val="000000"/>
          <w:u w:val="single"/>
          <w:lang w:val="x-none" w:eastAsia="x-none"/>
        </w:rPr>
      </w:pPr>
    </w:p>
    <w:p w14:paraId="2FD6D875" w14:textId="77777777" w:rsidR="00D0706C" w:rsidRPr="006C6124" w:rsidRDefault="00D0706C" w:rsidP="00D0706C">
      <w:pPr>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b/>
          <w:color w:val="000000"/>
          <w:u w:val="single"/>
        </w:rPr>
        <w:t>(j) Coordination with Education Officials.</w:t>
      </w:r>
      <w:r w:rsidRPr="006C6124">
        <w:rPr>
          <w:rFonts w:ascii="Calibri" w:eastAsia="Calibri" w:hAnsi="Calibri" w:cs="Calibri"/>
          <w:color w:val="000000"/>
        </w:rPr>
        <w:t xml:space="preserve"> In accordance with the requirements in section 101(a)(11)(D) of the Rehabilitation Act— </w:t>
      </w:r>
    </w:p>
    <w:p w14:paraId="603ADB9D" w14:textId="77777777" w:rsidR="00D0706C" w:rsidRPr="006C6124" w:rsidRDefault="00D0706C" w:rsidP="00D0706C">
      <w:pPr>
        <w:spacing w:after="5" w:line="250" w:lineRule="auto"/>
        <w:ind w:left="360" w:right="51" w:hanging="10"/>
        <w:rPr>
          <w:rFonts w:ascii="Calibri" w:eastAsia="Calibri" w:hAnsi="Calibri" w:cs="Calibri"/>
          <w:color w:val="000000"/>
          <w:lang w:eastAsia="x-none"/>
        </w:rPr>
      </w:pPr>
    </w:p>
    <w:p w14:paraId="4D081171" w14:textId="77777777" w:rsidR="00D0706C" w:rsidRPr="006C6124" w:rsidRDefault="00D0706C" w:rsidP="004F0DAC">
      <w:pPr>
        <w:numPr>
          <w:ilvl w:val="0"/>
          <w:numId w:val="13"/>
        </w:numPr>
        <w:spacing w:after="240" w:line="250" w:lineRule="auto"/>
        <w:ind w:left="360" w:right="58"/>
        <w:rPr>
          <w:rFonts w:ascii="Calibri" w:eastAsia="Times New Roman" w:hAnsi="Calibri" w:cs="Calibri"/>
          <w:color w:val="000000"/>
        </w:rPr>
      </w:pPr>
      <w:r w:rsidRPr="006C6124">
        <w:rPr>
          <w:rFonts w:ascii="Calibri" w:eastAsia="Calibri" w:hAnsi="Calibri" w:cs="Calibri"/>
          <w:color w:val="000000"/>
          <w:lang w:eastAsia="x-none"/>
        </w:rPr>
        <w:t xml:space="preserve">Describe </w:t>
      </w:r>
      <w:r w:rsidRPr="006C6124">
        <w:rPr>
          <w:rFonts w:ascii="Calibri" w:eastAsia="Calibri" w:hAnsi="Calibri" w:cs="Calibri"/>
          <w:color w:val="000000"/>
          <w:lang w:val="x-none" w:eastAsia="x-none"/>
        </w:rPr>
        <w:t>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w:t>
      </w:r>
      <w:r w:rsidRPr="006C6124">
        <w:rPr>
          <w:rFonts w:ascii="Calibri" w:eastAsia="Calibri" w:hAnsi="Calibri" w:cs="Calibri"/>
          <w:color w:val="000000"/>
          <w:lang w:eastAsia="x-none"/>
        </w:rPr>
        <w:t xml:space="preserve">. </w:t>
      </w:r>
    </w:p>
    <w:p w14:paraId="2F534294" w14:textId="6AB50E88" w:rsidR="000626E3" w:rsidRDefault="0054743E" w:rsidP="000626E3">
      <w:pPr>
        <w:spacing w:after="5" w:line="250" w:lineRule="auto"/>
        <w:ind w:left="360" w:right="51" w:hanging="10"/>
        <w:contextualSpacing/>
      </w:pPr>
      <w:r>
        <w:rPr>
          <w:b/>
          <w:bCs/>
        </w:rPr>
        <w:t xml:space="preserve">Technical Assistance and Consultation </w:t>
      </w:r>
      <w:r w:rsidR="000626E3">
        <w:t>DEED's VRS and SSB and MDE's Special Education and Career and College Success staff will provide technical assistance and consultation regarding these five required pre-employment transition services made available to students with disabilities who need them</w:t>
      </w:r>
      <w:r w:rsidR="00254C22">
        <w:t xml:space="preserve"> </w:t>
      </w:r>
      <w:r w:rsidR="000626E3">
        <w:t xml:space="preserve">in grade nine </w:t>
      </w:r>
      <w:r w:rsidR="00626F39">
        <w:t>until the 22</w:t>
      </w:r>
      <w:r w:rsidR="00626F39" w:rsidRPr="00626F39">
        <w:rPr>
          <w:vertAlign w:val="superscript"/>
        </w:rPr>
        <w:t>nd</w:t>
      </w:r>
      <w:r w:rsidR="00626F39">
        <w:t xml:space="preserve"> Birthday </w:t>
      </w:r>
      <w:r w:rsidR="000626E3">
        <w:t xml:space="preserve">statewide: </w:t>
      </w:r>
    </w:p>
    <w:p w14:paraId="52ECC084" w14:textId="4655FE32" w:rsidR="000626E3" w:rsidRDefault="000626E3">
      <w:pPr>
        <w:pStyle w:val="ListParagraph"/>
        <w:numPr>
          <w:ilvl w:val="0"/>
          <w:numId w:val="48"/>
        </w:numPr>
        <w:spacing w:after="5" w:line="250" w:lineRule="auto"/>
        <w:ind w:right="51"/>
      </w:pPr>
      <w:r>
        <w:t xml:space="preserve">Job exploration counseling to assist students with disabilities in understanding their </w:t>
      </w:r>
      <w:r w:rsidR="009119C0">
        <w:t>work-related</w:t>
      </w:r>
      <w:r>
        <w:t xml:space="preserve"> strengths and interests and what career possibilities there are; </w:t>
      </w:r>
    </w:p>
    <w:p w14:paraId="44A3F446" w14:textId="28F5C9BB" w:rsidR="0082442C" w:rsidRDefault="000626E3">
      <w:pPr>
        <w:pStyle w:val="ListParagraph"/>
        <w:numPr>
          <w:ilvl w:val="0"/>
          <w:numId w:val="48"/>
        </w:numPr>
        <w:spacing w:after="5" w:line="250" w:lineRule="auto"/>
        <w:ind w:right="51"/>
      </w:pPr>
      <w:r>
        <w:t>Work-based learning experiences, which may include in-school or after school opportunities, or experience outside the traditional school setting (including internships), that is provided in an integrated environment in the community to the maximum extent possible</w:t>
      </w:r>
      <w:r w:rsidR="00304E86">
        <w:t>.</w:t>
      </w:r>
    </w:p>
    <w:p w14:paraId="5A5F94E3" w14:textId="7848E212" w:rsidR="0082442C" w:rsidRDefault="0082442C">
      <w:pPr>
        <w:pStyle w:val="ListParagraph"/>
        <w:numPr>
          <w:ilvl w:val="0"/>
          <w:numId w:val="48"/>
        </w:numPr>
        <w:spacing w:after="5" w:line="250" w:lineRule="auto"/>
        <w:ind w:right="51"/>
      </w:pPr>
      <w:r>
        <w:t>Counseling on opportunities for enrollment in comprehensive transition or postsecondary educational programs at institutions of higher education</w:t>
      </w:r>
      <w:r w:rsidR="00C92DF9">
        <w:t>.</w:t>
      </w:r>
      <w:r>
        <w:t xml:space="preserve"> </w:t>
      </w:r>
    </w:p>
    <w:p w14:paraId="5BCD2A9B" w14:textId="1F15D642" w:rsidR="0082442C" w:rsidRDefault="0082442C">
      <w:pPr>
        <w:pStyle w:val="ListParagraph"/>
        <w:numPr>
          <w:ilvl w:val="0"/>
          <w:numId w:val="48"/>
        </w:numPr>
        <w:spacing w:after="5" w:line="250" w:lineRule="auto"/>
        <w:ind w:right="51"/>
      </w:pPr>
      <w:r>
        <w:lastRenderedPageBreak/>
        <w:t>Workplace readiness training to develop social skills and independent living</w:t>
      </w:r>
      <w:r w:rsidR="00C92DF9">
        <w:t>.</w:t>
      </w:r>
      <w:r>
        <w:t xml:space="preserve"> </w:t>
      </w:r>
    </w:p>
    <w:p w14:paraId="64AA110C" w14:textId="48396759" w:rsidR="008139AF" w:rsidRDefault="0082442C">
      <w:pPr>
        <w:pStyle w:val="ListParagraph"/>
        <w:numPr>
          <w:ilvl w:val="0"/>
          <w:numId w:val="48"/>
        </w:numPr>
        <w:spacing w:after="5" w:line="250" w:lineRule="auto"/>
        <w:ind w:right="51"/>
      </w:pPr>
      <w:r>
        <w:t>Instruction in self-advocacy (including instruction in person-centered practices), which may include peer mentoring (including peer mentoring from individuals with disabilities working in competitive</w:t>
      </w:r>
      <w:r w:rsidR="00EA32B7">
        <w:t>,</w:t>
      </w:r>
      <w:r>
        <w:t xml:space="preserve"> integrated employment).</w:t>
      </w:r>
    </w:p>
    <w:p w14:paraId="522C0FA7" w14:textId="77777777" w:rsidR="00F94F2E" w:rsidRDefault="00F94F2E" w:rsidP="00F94F2E">
      <w:pPr>
        <w:spacing w:after="5" w:line="250" w:lineRule="auto"/>
        <w:ind w:right="51"/>
      </w:pPr>
    </w:p>
    <w:p w14:paraId="11449803" w14:textId="675FC772" w:rsidR="00F94F2E" w:rsidRDefault="00A46CF3" w:rsidP="00F94F2E">
      <w:pPr>
        <w:spacing w:after="5" w:line="250" w:lineRule="auto"/>
        <w:ind w:left="350" w:right="51"/>
      </w:pPr>
      <w:r>
        <w:rPr>
          <w:b/>
          <w:bCs/>
        </w:rPr>
        <w:t xml:space="preserve">Partnership with SECCSD </w:t>
      </w:r>
      <w:r w:rsidR="00F94F2E">
        <w:t>DEED's VRS and SSB and MDE's Special Education and Career and College Success Divisions agree to share responsibility for ensuring that schools are aware of</w:t>
      </w:r>
      <w:r w:rsidR="00DE23BD">
        <w:t>,</w:t>
      </w:r>
      <w:r w:rsidR="00F94F2E">
        <w:t xml:space="preserve"> and how to use</w:t>
      </w:r>
      <w:r w:rsidR="00DE23BD">
        <w:t>,</w:t>
      </w:r>
      <w:r w:rsidR="00F94F2E">
        <w:t xml:space="preserve"> the tools to support students with disabilities</w:t>
      </w:r>
      <w:r w:rsidR="00426BD7">
        <w:t xml:space="preserve"> need</w:t>
      </w:r>
      <w:r w:rsidR="00F94F2E">
        <w:t xml:space="preserve"> to receive current information about their strengths, interests</w:t>
      </w:r>
      <w:r w:rsidR="00BC5743">
        <w:t>,</w:t>
      </w:r>
      <w:r w:rsidR="00F94F2E">
        <w:t xml:space="preserve"> and preferences in order to make informed choices about competitive integrated employment prior to leaving school. DEED's VRS and SSB and MDE's Special Education and Career and College Success Divisions agree to share responsibility for ensuring that schools which serve students with disabilities receive information about the benefits of providing career information.</w:t>
      </w:r>
    </w:p>
    <w:p w14:paraId="29838015" w14:textId="77777777" w:rsidR="00F94F2E" w:rsidRDefault="00F94F2E" w:rsidP="00F94F2E">
      <w:pPr>
        <w:spacing w:after="5" w:line="250" w:lineRule="auto"/>
        <w:ind w:left="350" w:right="51"/>
      </w:pPr>
    </w:p>
    <w:p w14:paraId="008192C5" w14:textId="41B6607A" w:rsidR="00D0706C" w:rsidRDefault="008139AF" w:rsidP="00D0706C">
      <w:pPr>
        <w:spacing w:after="5" w:line="250" w:lineRule="auto"/>
        <w:ind w:left="360" w:right="51" w:hanging="10"/>
        <w:contextualSpacing/>
      </w:pPr>
      <w:r>
        <w:rPr>
          <w:b/>
          <w:bCs/>
        </w:rPr>
        <w:t>MSIC</w:t>
      </w:r>
      <w:r w:rsidR="00B8435F">
        <w:rPr>
          <w:b/>
          <w:bCs/>
        </w:rPr>
        <w:t xml:space="preserve"> -</w:t>
      </w:r>
      <w:r>
        <w:rPr>
          <w:b/>
          <w:bCs/>
        </w:rPr>
        <w:t xml:space="preserve"> </w:t>
      </w:r>
      <w:r>
        <w:t>Coordinated services for youth in special education</w:t>
      </w:r>
      <w:r w:rsidR="003B69CD">
        <w:t>.</w:t>
      </w:r>
      <w:r>
        <w:t xml:space="preserve"> Minnesota law mandates a coordinated system of services for youth</w:t>
      </w:r>
      <w:r w:rsidR="00AA1F9C">
        <w:t xml:space="preserve"> from</w:t>
      </w:r>
      <w:r>
        <w:t xml:space="preserve"> birth to </w:t>
      </w:r>
      <w:r w:rsidR="00BC4013">
        <w:t>the 22</w:t>
      </w:r>
      <w:r w:rsidR="00BC4013" w:rsidRPr="00BC4013">
        <w:rPr>
          <w:vertAlign w:val="superscript"/>
        </w:rPr>
        <w:t>nd</w:t>
      </w:r>
      <w:r w:rsidR="00BC4013">
        <w:t xml:space="preserve"> </w:t>
      </w:r>
      <w:r w:rsidR="00AA1F9C">
        <w:t>birthday</w:t>
      </w:r>
      <w:r>
        <w:t xml:space="preserve">, who are </w:t>
      </w:r>
      <w:r w:rsidR="00AB551D">
        <w:t xml:space="preserve">enrolled </w:t>
      </w:r>
      <w:r>
        <w:t>in special education</w:t>
      </w:r>
      <w:r w:rsidR="009067CA">
        <w:t xml:space="preserve"> programs</w:t>
      </w:r>
      <w:r>
        <w:t>. The Minnesota System for Interagency Collaboration (MnSIC) was formed to develop and implement this system. SSB staff participate on subcommittees that develop service strategies for students and recommendations for governance</w:t>
      </w:r>
      <w:r w:rsidR="00B316A0">
        <w:t>,</w:t>
      </w:r>
      <w:r>
        <w:t xml:space="preserve"> and coordination of</w:t>
      </w:r>
      <w:r w:rsidR="00B316A0">
        <w:t>,</w:t>
      </w:r>
      <w:r>
        <w:t xml:space="preserve"> state and local collaborative efforts.</w:t>
      </w:r>
      <w:r w:rsidR="00C1300D">
        <w:t xml:space="preserve"> </w:t>
      </w:r>
    </w:p>
    <w:p w14:paraId="049BCB46" w14:textId="77777777" w:rsidR="00452A89" w:rsidRDefault="00452A89" w:rsidP="00D0706C">
      <w:pPr>
        <w:spacing w:after="5" w:line="250" w:lineRule="auto"/>
        <w:ind w:left="360" w:right="51" w:hanging="10"/>
        <w:contextualSpacing/>
      </w:pPr>
    </w:p>
    <w:p w14:paraId="204B1E60" w14:textId="1AF094B0" w:rsidR="002E7565" w:rsidRDefault="00452A89" w:rsidP="00D0706C">
      <w:pPr>
        <w:spacing w:after="5" w:line="250" w:lineRule="auto"/>
        <w:ind w:left="360" w:right="51" w:hanging="10"/>
        <w:contextualSpacing/>
      </w:pPr>
      <w:r>
        <w:rPr>
          <w:b/>
          <w:bCs/>
        </w:rPr>
        <w:t>CTIC</w:t>
      </w:r>
      <w:r w:rsidR="00F6253E">
        <w:rPr>
          <w:b/>
          <w:bCs/>
        </w:rPr>
        <w:t xml:space="preserve"> -</w:t>
      </w:r>
      <w:r>
        <w:rPr>
          <w:b/>
          <w:bCs/>
        </w:rPr>
        <w:t xml:space="preserve"> </w:t>
      </w:r>
      <w:r>
        <w:t xml:space="preserve">Approximately 70 local CTICs promote statewide interagency coordination to remove system barriers and expand community services. CTICs include parents, students, advocacy groups, local businesses, county government, </w:t>
      </w:r>
      <w:r w:rsidR="001371C5">
        <w:t>postsecondary</w:t>
      </w:r>
      <w:r>
        <w:t xml:space="preserve"> education, vocational education, community education, corrections, SSA health care, and other local service providers. SSB staff serve on CTICs, thereby helping to improve and expand vocational services that result in employment outcomes. </w:t>
      </w:r>
    </w:p>
    <w:p w14:paraId="3066400B" w14:textId="77777777" w:rsidR="002E7565" w:rsidRDefault="002E7565" w:rsidP="00D0706C">
      <w:pPr>
        <w:spacing w:after="5" w:line="250" w:lineRule="auto"/>
        <w:ind w:left="360" w:right="51" w:hanging="10"/>
        <w:contextualSpacing/>
      </w:pPr>
    </w:p>
    <w:p w14:paraId="699B464E" w14:textId="274FC257" w:rsidR="0036095F" w:rsidRDefault="0024235A" w:rsidP="00D0706C">
      <w:pPr>
        <w:spacing w:after="5" w:line="250" w:lineRule="auto"/>
        <w:ind w:left="360" w:right="51" w:hanging="10"/>
        <w:contextualSpacing/>
      </w:pPr>
      <w:r>
        <w:rPr>
          <w:b/>
          <w:bCs/>
        </w:rPr>
        <w:t>Serving</w:t>
      </w:r>
      <w:r w:rsidR="00452A89" w:rsidRPr="002E7565">
        <w:rPr>
          <w:b/>
          <w:bCs/>
        </w:rPr>
        <w:t xml:space="preserve"> all public, private, and charter high schools in Minnesota</w:t>
      </w:r>
      <w:r w:rsidR="00686BB5">
        <w:rPr>
          <w:b/>
          <w:bCs/>
        </w:rPr>
        <w:t xml:space="preserve"> </w:t>
      </w:r>
      <w:r w:rsidR="00F6253E">
        <w:rPr>
          <w:b/>
          <w:bCs/>
        </w:rPr>
        <w:t>-</w:t>
      </w:r>
      <w:r w:rsidR="00452A89">
        <w:t xml:space="preserve"> </w:t>
      </w:r>
      <w:r>
        <w:t xml:space="preserve">SSB counselors </w:t>
      </w:r>
      <w:r w:rsidR="00452A89">
        <w:t xml:space="preserve">are active participants on transition planning teams so that each eligible </w:t>
      </w:r>
      <w:r w:rsidR="00DE7735">
        <w:t xml:space="preserve">or potentially eligible </w:t>
      </w:r>
      <w:r w:rsidR="00452A89">
        <w:t xml:space="preserve">student with a disability can access VR services. </w:t>
      </w:r>
      <w:r w:rsidR="0054743E">
        <w:t>DEED's VRS and SSB counselors attend meetings for the development of Individualized Education Programs (IEPs)</w:t>
      </w:r>
      <w:r w:rsidR="00700003">
        <w:t>,</w:t>
      </w:r>
      <w:r w:rsidR="0054743E">
        <w:t xml:space="preserve"> when invited. Counselors will use the IEPs with students to assist in developing the individualized plans for employment (IPE). </w:t>
      </w:r>
    </w:p>
    <w:p w14:paraId="5FD23F5A" w14:textId="77777777" w:rsidR="0036095F" w:rsidRDefault="0036095F" w:rsidP="00D0706C">
      <w:pPr>
        <w:spacing w:after="5" w:line="250" w:lineRule="auto"/>
        <w:ind w:left="360" w:right="51" w:hanging="10"/>
        <w:contextualSpacing/>
      </w:pPr>
    </w:p>
    <w:p w14:paraId="7D6BB7C0" w14:textId="486C423A" w:rsidR="00452A89" w:rsidRPr="00452A89" w:rsidRDefault="0036095F" w:rsidP="00D0706C">
      <w:pPr>
        <w:spacing w:after="5" w:line="250" w:lineRule="auto"/>
        <w:ind w:left="360" w:right="51" w:hanging="10"/>
        <w:contextualSpacing/>
        <w:rPr>
          <w:b/>
          <w:bCs/>
        </w:rPr>
      </w:pPr>
      <w:r>
        <w:rPr>
          <w:b/>
          <w:bCs/>
        </w:rPr>
        <w:t>Outreach</w:t>
      </w:r>
      <w:r w:rsidR="009067CA">
        <w:rPr>
          <w:b/>
          <w:bCs/>
        </w:rPr>
        <w:t xml:space="preserve"> -</w:t>
      </w:r>
      <w:r>
        <w:rPr>
          <w:b/>
          <w:bCs/>
        </w:rPr>
        <w:t xml:space="preserve"> </w:t>
      </w:r>
      <w:r w:rsidR="00452A89">
        <w:t>Outreach efforts include working with school nurses, guidance counselors, case managers, principals, social workers, 504 personnel, community agencies</w:t>
      </w:r>
      <w:r w:rsidR="009067CA">
        <w:t>,</w:t>
      </w:r>
      <w:r w:rsidR="00452A89">
        <w:t xml:space="preserve"> and work experience coordinators to identify students with disabilities who are not in special education programs. For SSB, connecting with students through teachers of the blind and visually impaired is a primary way to ensure that we are serving students. A referral of all potentially eligible students is sought as soon as possible </w:t>
      </w:r>
      <w:r w:rsidR="00D85C62">
        <w:t xml:space="preserve">to </w:t>
      </w:r>
      <w:r w:rsidR="00C94E1C">
        <w:t>ensure</w:t>
      </w:r>
      <w:r w:rsidR="00452A89">
        <w:t xml:space="preserve"> employment services can begin well before the student leaves school.</w:t>
      </w:r>
    </w:p>
    <w:p w14:paraId="2B564787" w14:textId="77777777" w:rsidR="008139AF" w:rsidRDefault="008139AF" w:rsidP="00D0706C">
      <w:pPr>
        <w:spacing w:after="5" w:line="250" w:lineRule="auto"/>
        <w:ind w:left="360" w:right="51" w:hanging="10"/>
        <w:contextualSpacing/>
        <w:rPr>
          <w:rFonts w:ascii="Calibri" w:eastAsia="Times New Roman" w:hAnsi="Calibri" w:cs="Calibri"/>
          <w:color w:val="000000"/>
        </w:rPr>
      </w:pPr>
    </w:p>
    <w:p w14:paraId="63AB1226" w14:textId="4E674367" w:rsidR="00567189" w:rsidRDefault="0051267A" w:rsidP="001B1BD7">
      <w:pPr>
        <w:spacing w:after="5" w:line="250" w:lineRule="auto"/>
        <w:ind w:left="360" w:right="51" w:hanging="10"/>
        <w:contextualSpacing/>
      </w:pPr>
      <w:r>
        <w:rPr>
          <w:rFonts w:ascii="Calibri" w:eastAsia="Times New Roman" w:hAnsi="Calibri" w:cs="Calibri"/>
          <w:b/>
          <w:bCs/>
          <w:color w:val="000000"/>
        </w:rPr>
        <w:t xml:space="preserve">Assistive Technology </w:t>
      </w:r>
      <w:r>
        <w:t xml:space="preserve">On an annual basis, the MDE Assistive Technology Steering Committee submits a request for technology </w:t>
      </w:r>
      <w:r w:rsidR="004B0605">
        <w:t xml:space="preserve">to </w:t>
      </w:r>
      <w:r>
        <w:t>SSB</w:t>
      </w:r>
      <w:r w:rsidR="004B0605">
        <w:t xml:space="preserve"> for the MDE lending library. This lending library is located at the Minnesota State Academy for the Blind and is available for transition</w:t>
      </w:r>
      <w:r w:rsidR="00801B63">
        <w:t>-</w:t>
      </w:r>
      <w:r w:rsidR="004B0605">
        <w:t>aged students</w:t>
      </w:r>
      <w:r w:rsidR="00907E3A">
        <w:t xml:space="preserve"> who are blind, low vision, or DeafBlind</w:t>
      </w:r>
      <w:r w:rsidR="004B0605">
        <w:t xml:space="preserve"> to use as part o</w:t>
      </w:r>
      <w:r w:rsidR="00CA28E4">
        <w:t>f</w:t>
      </w:r>
      <w:r w:rsidR="004B0605">
        <w:t xml:space="preserve"> the</w:t>
      </w:r>
      <w:r w:rsidR="00CA28E4">
        <w:t>ir</w:t>
      </w:r>
      <w:r w:rsidR="004B0605">
        <w:t xml:space="preserve"> pre-employment transition services. </w:t>
      </w:r>
      <w:r w:rsidR="001B1BD7">
        <w:t>In addition, w</w:t>
      </w:r>
      <w:r w:rsidR="00567189">
        <w:t>hen a</w:t>
      </w:r>
      <w:r w:rsidR="001B1BD7">
        <w:t xml:space="preserve"> student</w:t>
      </w:r>
      <w:r w:rsidR="00567189">
        <w:t xml:space="preserve"> with a disability transitions into a work environment or postsecondary program, SSB may purchase any assistive technology device that the </w:t>
      </w:r>
      <w:r w:rsidR="001B1BD7">
        <w:t xml:space="preserve">SSB’s </w:t>
      </w:r>
      <w:r w:rsidR="00567189">
        <w:t>former school district purchased on the child’s behalf.</w:t>
      </w:r>
    </w:p>
    <w:p w14:paraId="3146927F" w14:textId="77777777" w:rsidR="000626E3" w:rsidRDefault="000626E3" w:rsidP="001B1BD7">
      <w:pPr>
        <w:spacing w:after="5" w:line="250" w:lineRule="auto"/>
        <w:ind w:left="360" w:right="51" w:hanging="10"/>
        <w:contextualSpacing/>
      </w:pPr>
    </w:p>
    <w:p w14:paraId="31B0F1E8" w14:textId="77777777" w:rsidR="00907E3A" w:rsidRPr="0051267A" w:rsidRDefault="00907E3A" w:rsidP="00D0706C">
      <w:pPr>
        <w:spacing w:after="5" w:line="250" w:lineRule="auto"/>
        <w:ind w:left="360" w:right="51" w:hanging="10"/>
        <w:contextualSpacing/>
        <w:rPr>
          <w:rFonts w:ascii="Calibri" w:eastAsia="Times New Roman" w:hAnsi="Calibri" w:cs="Calibri"/>
          <w:b/>
          <w:bCs/>
          <w:color w:val="000000"/>
        </w:rPr>
      </w:pPr>
    </w:p>
    <w:p w14:paraId="05E845D2" w14:textId="77777777" w:rsidR="00D0706C" w:rsidRPr="006C6124" w:rsidRDefault="00D0706C">
      <w:pPr>
        <w:numPr>
          <w:ilvl w:val="0"/>
          <w:numId w:val="13"/>
        </w:numPr>
        <w:spacing w:after="5" w:line="250" w:lineRule="auto"/>
        <w:ind w:left="360" w:right="51"/>
        <w:contextualSpacing/>
        <w:rPr>
          <w:rFonts w:ascii="Calibri" w:eastAsia="Times New Roman" w:hAnsi="Calibri" w:cs="Calibri"/>
          <w:color w:val="000000"/>
        </w:rPr>
      </w:pPr>
      <w:r w:rsidRPr="006C6124">
        <w:rPr>
          <w:rFonts w:ascii="Calibri" w:eastAsia="+mn-ea" w:hAnsi="Calibri" w:cs="Calibri"/>
          <w:color w:val="000000"/>
          <w:kern w:val="24"/>
        </w:rPr>
        <w:t>Describe the current status and scope of the formal interagency agreement between the VR agency and the State educational agency. Consistent with the requirements of the formal interagency agreement pursuant to 34 CFR 361.22(b), provide, at a minimum, the following information about the agreement:</w:t>
      </w:r>
    </w:p>
    <w:p w14:paraId="3ACB29E2" w14:textId="77777777" w:rsidR="00D0706C" w:rsidRPr="006C6124" w:rsidRDefault="00D0706C" w:rsidP="00D0706C">
      <w:pPr>
        <w:spacing w:after="5" w:line="250" w:lineRule="auto"/>
        <w:ind w:left="10" w:right="51" w:hanging="10"/>
        <w:rPr>
          <w:rFonts w:ascii="Calibri" w:eastAsia="Times New Roman" w:hAnsi="Calibri" w:cs="Calibri"/>
          <w:color w:val="000000"/>
        </w:rPr>
      </w:pPr>
    </w:p>
    <w:p w14:paraId="1F12A8F7" w14:textId="77777777" w:rsidR="00D0706C" w:rsidRPr="006C6124" w:rsidRDefault="00D0706C">
      <w:pPr>
        <w:numPr>
          <w:ilvl w:val="0"/>
          <w:numId w:val="17"/>
        </w:numPr>
        <w:spacing w:after="5" w:line="250" w:lineRule="auto"/>
        <w:ind w:right="51"/>
        <w:contextualSpacing/>
        <w:rPr>
          <w:rFonts w:ascii="Calibri" w:eastAsia="Times New Roman" w:hAnsi="Calibri" w:cs="Calibri"/>
          <w:color w:val="000000"/>
        </w:rPr>
      </w:pPr>
      <w:r w:rsidRPr="006C6124">
        <w:rPr>
          <w:rFonts w:ascii="Calibri" w:eastAsia="Times New Roman" w:hAnsi="Calibri" w:cs="Calibri"/>
          <w:color w:val="000000"/>
        </w:rPr>
        <w:lastRenderedPageBreak/>
        <w:t xml:space="preserve">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services;  </w:t>
      </w:r>
    </w:p>
    <w:p w14:paraId="29E8C880" w14:textId="77777777" w:rsidR="00D0706C" w:rsidRPr="006C6124" w:rsidRDefault="00D0706C">
      <w:pPr>
        <w:numPr>
          <w:ilvl w:val="0"/>
          <w:numId w:val="17"/>
        </w:numPr>
        <w:spacing w:after="5" w:line="250" w:lineRule="auto"/>
        <w:ind w:right="51"/>
        <w:contextualSpacing/>
        <w:rPr>
          <w:rFonts w:ascii="Calibri" w:eastAsia="Times New Roman" w:hAnsi="Calibri" w:cs="Calibri"/>
          <w:color w:val="000000"/>
        </w:rPr>
      </w:pPr>
      <w:r w:rsidRPr="006C6124">
        <w:rPr>
          <w:rFonts w:ascii="Calibri" w:eastAsia="Times New Roman" w:hAnsi="Calibri" w:cs="Calibri"/>
          <w:color w:val="000000"/>
        </w:rPr>
        <w:t xml:space="preserve">Transition planning by personnel of the designated State agency and educational agency personnel for students with disabilities that facilitates the development and implementation of their individualized education programs (IEPs) under section 614(d) of the Individuals with Disabilities Education Act;  </w:t>
      </w:r>
    </w:p>
    <w:p w14:paraId="626095E3" w14:textId="77777777" w:rsidR="00D0706C" w:rsidRPr="006C6124" w:rsidRDefault="00D0706C">
      <w:pPr>
        <w:numPr>
          <w:ilvl w:val="0"/>
          <w:numId w:val="17"/>
        </w:numPr>
        <w:spacing w:after="5" w:line="250" w:lineRule="auto"/>
        <w:ind w:right="51"/>
        <w:contextualSpacing/>
        <w:rPr>
          <w:rFonts w:ascii="Calibri" w:eastAsia="Times New Roman" w:hAnsi="Calibri" w:cs="Calibri"/>
          <w:color w:val="000000"/>
        </w:rPr>
      </w:pPr>
      <w:r w:rsidRPr="006C6124">
        <w:rPr>
          <w:rFonts w:ascii="Calibri" w:eastAsia="+mn-ea" w:hAnsi="Calibri" w:cs="Calibri"/>
          <w:color w:val="000000"/>
          <w:kern w:val="24"/>
        </w:rPr>
        <w:t xml:space="preserve">The roles and responsibilities, including financial responsibilities, of each agency, including provisions for determining State lead agencies and qualified personnel responsible for transition services and pre-employment transition services; </w:t>
      </w:r>
    </w:p>
    <w:p w14:paraId="2E6318EE" w14:textId="77777777" w:rsidR="00D0706C" w:rsidRPr="006C6124" w:rsidRDefault="00D0706C">
      <w:pPr>
        <w:numPr>
          <w:ilvl w:val="0"/>
          <w:numId w:val="17"/>
        </w:numPr>
        <w:spacing w:after="5" w:line="250" w:lineRule="auto"/>
        <w:ind w:right="51"/>
        <w:contextualSpacing/>
        <w:rPr>
          <w:rFonts w:ascii="Calibri" w:eastAsia="Times New Roman" w:hAnsi="Calibri" w:cs="Calibri"/>
          <w:color w:val="000000"/>
        </w:rPr>
      </w:pPr>
      <w:r w:rsidRPr="006C6124">
        <w:rPr>
          <w:rFonts w:ascii="Calibri" w:eastAsia="+mn-ea" w:hAnsi="Calibri" w:cs="Calibri"/>
          <w:color w:val="000000"/>
          <w:kern w:val="24"/>
        </w:rPr>
        <w:t>Procedures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requirements, application procedures, and scope of services that may be provided to eligible individuals;</w:t>
      </w:r>
    </w:p>
    <w:p w14:paraId="2AC038C8" w14:textId="77777777" w:rsidR="00D0706C" w:rsidRPr="006C6124" w:rsidRDefault="00D0706C">
      <w:pPr>
        <w:widowControl w:val="0"/>
        <w:numPr>
          <w:ilvl w:val="0"/>
          <w:numId w:val="17"/>
        </w:numPr>
        <w:spacing w:after="5" w:line="250" w:lineRule="auto"/>
        <w:ind w:right="51"/>
        <w:contextualSpacing/>
        <w:rPr>
          <w:rFonts w:ascii="Calibri" w:eastAsia="Times New Roman" w:hAnsi="Calibri" w:cs="Calibri"/>
          <w:color w:val="000000"/>
        </w:rPr>
      </w:pPr>
      <w:r w:rsidRPr="006C6124">
        <w:rPr>
          <w:rFonts w:ascii="Calibri" w:eastAsia="+mn-ea" w:hAnsi="Calibri" w:cs="Calibri"/>
          <w:color w:val="000000"/>
          <w:kern w:val="24"/>
        </w:rPr>
        <w:t>Coordination necessary to satisfy documentation requirements set forth in 34 CFR part 397 regarding students and youth with disabilities who are seeking subminimum wage employment; and</w:t>
      </w:r>
    </w:p>
    <w:p w14:paraId="2B4F0DB9" w14:textId="77777777" w:rsidR="00D0706C" w:rsidRPr="006C6124" w:rsidRDefault="00D0706C">
      <w:pPr>
        <w:widowControl w:val="0"/>
        <w:numPr>
          <w:ilvl w:val="0"/>
          <w:numId w:val="17"/>
        </w:numPr>
        <w:spacing w:after="5" w:line="250" w:lineRule="auto"/>
        <w:ind w:right="51"/>
        <w:contextualSpacing/>
        <w:rPr>
          <w:rFonts w:ascii="Calibri" w:eastAsia="Times New Roman" w:hAnsi="Calibri" w:cs="Calibri"/>
          <w:color w:val="000000"/>
        </w:rPr>
      </w:pPr>
      <w:r w:rsidRPr="006C6124">
        <w:rPr>
          <w:rFonts w:ascii="Calibri" w:eastAsia="+mn-ea" w:hAnsi="Calibri" w:cs="Calibri"/>
          <w:color w:val="000000"/>
          <w:kern w:val="24"/>
        </w:rPr>
        <w:t>Assurance that, in accordance with 34 CFR 397.31, neither the SEA nor the local educational agency will enter into a contract or other arrangement with an entity, as defined in 34 CFR 397.5(d), for the purpose of operating a program under which youth with a disability is engaged in work compensated at a subminimum wage.</w:t>
      </w:r>
    </w:p>
    <w:p w14:paraId="12CE4D79" w14:textId="30A49E12" w:rsidR="00D0706C" w:rsidRDefault="00D0706C" w:rsidP="00D0706C">
      <w:pPr>
        <w:spacing w:after="5" w:line="250" w:lineRule="auto"/>
        <w:ind w:left="10" w:right="51" w:firstLine="980"/>
        <w:contextualSpacing/>
        <w:rPr>
          <w:rFonts w:ascii="Calibri" w:eastAsia="+mn-ea" w:hAnsi="Calibri" w:cs="Calibri"/>
          <w:color w:val="000000"/>
          <w:kern w:val="24"/>
        </w:rPr>
      </w:pPr>
    </w:p>
    <w:p w14:paraId="0666C2EC" w14:textId="77777777" w:rsidR="00BD77F6" w:rsidRDefault="00BD77F6" w:rsidP="00D0706C">
      <w:pPr>
        <w:spacing w:after="5" w:line="250" w:lineRule="auto"/>
        <w:ind w:left="10" w:right="51" w:firstLine="980"/>
        <w:contextualSpacing/>
        <w:rPr>
          <w:rFonts w:ascii="Calibri" w:eastAsia="+mn-ea" w:hAnsi="Calibri" w:cs="Calibri"/>
          <w:color w:val="000000"/>
          <w:kern w:val="24"/>
        </w:rPr>
      </w:pPr>
    </w:p>
    <w:p w14:paraId="3CE8B3C6" w14:textId="77777777" w:rsidR="00BD77F6" w:rsidRDefault="00BD77F6" w:rsidP="00421171">
      <w:pPr>
        <w:spacing w:after="60" w:line="250" w:lineRule="auto"/>
        <w:ind w:left="360" w:right="58" w:hanging="14"/>
      </w:pPr>
      <w:r>
        <w:t xml:space="preserve">Vocational Rehabilitation Services (VRS), State Services for the Blind (SSB), and Minnesota Department of Education (MDE) have a memorandum of understanding (MOU) to achieve better coordination between schools and VR services and to create a bridge from the school to VRS or SSB prior to school exit. The intent of the agreement is to: </w:t>
      </w:r>
    </w:p>
    <w:p w14:paraId="464586C6" w14:textId="25EE49A8" w:rsidR="00BD77F6" w:rsidRPr="00BF6223" w:rsidRDefault="00BD77F6">
      <w:pPr>
        <w:pStyle w:val="ListParagraph"/>
        <w:numPr>
          <w:ilvl w:val="0"/>
          <w:numId w:val="48"/>
        </w:numPr>
        <w:spacing w:after="5" w:line="250" w:lineRule="auto"/>
        <w:ind w:right="51"/>
        <w:rPr>
          <w:rFonts w:ascii="Calibri" w:eastAsia="Times New Roman" w:hAnsi="Calibri" w:cs="Calibri"/>
          <w:color w:val="000000"/>
        </w:rPr>
      </w:pPr>
      <w:r>
        <w:t>Provide consultation and technical assistance to Local Education Agencies (LEAs) in planning for the transition of students with disabilities from school to post-school activities including postsecondary education, training, competitive integrated employment</w:t>
      </w:r>
      <w:r w:rsidR="00570E59">
        <w:t>,</w:t>
      </w:r>
      <w:r>
        <w:t xml:space="preserve"> and independent living. </w:t>
      </w:r>
    </w:p>
    <w:p w14:paraId="74503D95" w14:textId="3DE6EADF" w:rsidR="00BD77F6" w:rsidRPr="00BF6223" w:rsidRDefault="00BD77F6">
      <w:pPr>
        <w:pStyle w:val="ListParagraph"/>
        <w:numPr>
          <w:ilvl w:val="0"/>
          <w:numId w:val="48"/>
        </w:numPr>
        <w:spacing w:after="5" w:line="250" w:lineRule="auto"/>
        <w:ind w:right="51"/>
        <w:rPr>
          <w:rFonts w:ascii="Calibri" w:eastAsia="Times New Roman" w:hAnsi="Calibri" w:cs="Calibri"/>
          <w:color w:val="000000"/>
        </w:rPr>
      </w:pPr>
      <w:r>
        <w:t xml:space="preserve">Provide secondary transition planning by </w:t>
      </w:r>
      <w:r w:rsidR="00EC5235">
        <w:t xml:space="preserve">DEED </w:t>
      </w:r>
      <w:r>
        <w:t>personnel alongside secondary special education and career and college readiness staff through the delivery of pre-employment transition services and vocational rehabilitation services under the Rehabilitation Act and transition services under the IDEA.</w:t>
      </w:r>
    </w:p>
    <w:p w14:paraId="45576D4C" w14:textId="0C16D127" w:rsidR="00BD77F6" w:rsidRPr="00BF6223" w:rsidRDefault="00BD77F6">
      <w:pPr>
        <w:pStyle w:val="ListParagraph"/>
        <w:numPr>
          <w:ilvl w:val="0"/>
          <w:numId w:val="48"/>
        </w:numPr>
        <w:spacing w:after="5" w:line="250" w:lineRule="auto"/>
        <w:ind w:right="51"/>
        <w:rPr>
          <w:rFonts w:ascii="Calibri" w:eastAsia="Times New Roman" w:hAnsi="Calibri" w:cs="Calibri"/>
          <w:color w:val="000000"/>
        </w:rPr>
      </w:pPr>
      <w:r>
        <w:t>Define the roles and responsibilities, including financial responsibilities, of each agency, including provisions for pre-employment transition services, vocational rehabilitation services</w:t>
      </w:r>
      <w:r w:rsidR="006C2BF5">
        <w:t>,</w:t>
      </w:r>
      <w:r>
        <w:t xml:space="preserve"> and IDEA transition services. </w:t>
      </w:r>
    </w:p>
    <w:p w14:paraId="4608D34D" w14:textId="3DB7DE93" w:rsidR="00BD77F6" w:rsidRPr="0071604D" w:rsidRDefault="00BD77F6">
      <w:pPr>
        <w:pStyle w:val="ListParagraph"/>
        <w:numPr>
          <w:ilvl w:val="0"/>
          <w:numId w:val="48"/>
        </w:numPr>
        <w:spacing w:after="5" w:line="250" w:lineRule="auto"/>
        <w:ind w:right="51"/>
        <w:rPr>
          <w:rFonts w:ascii="Calibri" w:eastAsia="Times New Roman" w:hAnsi="Calibri" w:cs="Calibri"/>
          <w:color w:val="000000"/>
        </w:rPr>
      </w:pPr>
      <w:r>
        <w:t>Designate procedures for outreach to</w:t>
      </w:r>
      <w:r w:rsidR="006C2BF5">
        <w:t>,</w:t>
      </w:r>
      <w:r>
        <w:t xml:space="preserve"> and identification of</w:t>
      </w:r>
      <w:r w:rsidR="006C2BF5">
        <w:t>,</w:t>
      </w:r>
      <w:r>
        <w:t xml:space="preserve"> students with disabilities who are in need of pre-employment transition services and/or vocational rehabilitation services. Outreach to students should occur as early as age 14. </w:t>
      </w:r>
    </w:p>
    <w:p w14:paraId="5B9F10E1" w14:textId="5ECD43A1" w:rsidR="00BD77F6" w:rsidRPr="000C4721" w:rsidRDefault="00BD77F6">
      <w:pPr>
        <w:pStyle w:val="ListParagraph"/>
        <w:numPr>
          <w:ilvl w:val="0"/>
          <w:numId w:val="48"/>
        </w:numPr>
        <w:spacing w:after="5" w:line="250" w:lineRule="auto"/>
        <w:ind w:right="51"/>
        <w:rPr>
          <w:rFonts w:ascii="Calibri" w:eastAsia="Times New Roman" w:hAnsi="Calibri" w:cs="Calibri"/>
          <w:color w:val="000000"/>
        </w:rPr>
      </w:pPr>
      <w:r>
        <w:t xml:space="preserve">Outline services and documentation requirements set forth in section 511 of the Rehabilitation Act, as added by the Workforce Innovation and Opportunity Act (WIOA), </w:t>
      </w:r>
      <w:r w:rsidR="00867E06">
        <w:t>regarding</w:t>
      </w:r>
      <w:r>
        <w:t xml:space="preserve"> youth with disabilities who are seeking subminimum wage employment. </w:t>
      </w:r>
    </w:p>
    <w:p w14:paraId="005774C3" w14:textId="03A8506F" w:rsidR="00BD77F6" w:rsidRPr="00BF6223" w:rsidRDefault="00BD77F6">
      <w:pPr>
        <w:pStyle w:val="ListParagraph"/>
        <w:numPr>
          <w:ilvl w:val="0"/>
          <w:numId w:val="48"/>
        </w:numPr>
        <w:spacing w:after="5" w:line="250" w:lineRule="auto"/>
        <w:ind w:right="51"/>
        <w:rPr>
          <w:rFonts w:ascii="Calibri" w:eastAsia="Times New Roman" w:hAnsi="Calibri" w:cs="Calibri"/>
          <w:color w:val="000000"/>
        </w:rPr>
      </w:pPr>
      <w:r>
        <w:t xml:space="preserve">Provide assurance that neither the SEA nor the LEA will </w:t>
      </w:r>
      <w:r w:rsidR="004F3013">
        <w:t>enter</w:t>
      </w:r>
      <w:r>
        <w:t xml:space="preserve"> an arrangement with an entity holding a special wage certificate under section 14(c) of the Fair Labor Standards Act for the purpose of operating a program under which a youth with a disability is engaged in work at a subminimum wage.</w:t>
      </w:r>
    </w:p>
    <w:p w14:paraId="365A2FCE" w14:textId="77777777" w:rsidR="00BD77F6" w:rsidRPr="006C6124" w:rsidRDefault="00BD77F6" w:rsidP="00BD77F6">
      <w:pPr>
        <w:spacing w:after="5" w:line="250" w:lineRule="auto"/>
        <w:ind w:right="51"/>
        <w:contextualSpacing/>
        <w:rPr>
          <w:rFonts w:ascii="Calibri" w:eastAsia="Times New Roman" w:hAnsi="Calibri" w:cs="Calibri"/>
          <w:color w:val="000000"/>
        </w:rPr>
      </w:pPr>
    </w:p>
    <w:p w14:paraId="0F7ED794" w14:textId="77777777" w:rsidR="00D0706C" w:rsidRPr="006C6124" w:rsidRDefault="00D0706C" w:rsidP="00D0706C">
      <w:pPr>
        <w:spacing w:after="5" w:line="250" w:lineRule="auto"/>
        <w:ind w:left="10" w:right="51" w:hanging="10"/>
        <w:rPr>
          <w:rFonts w:ascii="Calibri" w:eastAsia="Calibri" w:hAnsi="Calibri" w:cs="Calibri"/>
          <w:b/>
          <w:bCs/>
          <w:color w:val="000000"/>
          <w:u w:val="single"/>
          <w:lang w:val="x-none" w:eastAsia="x-none"/>
        </w:rPr>
      </w:pPr>
    </w:p>
    <w:p w14:paraId="1020FA39" w14:textId="77777777" w:rsidR="00D0706C" w:rsidRPr="006C6124" w:rsidRDefault="00D0706C" w:rsidP="00E36C9E">
      <w:pPr>
        <w:spacing w:after="240" w:line="250" w:lineRule="auto"/>
        <w:ind w:left="14" w:right="58" w:hanging="14"/>
        <w:rPr>
          <w:rFonts w:ascii="Calibri" w:eastAsia="Calibri" w:hAnsi="Calibri" w:cs="Calibri"/>
          <w:color w:val="000000"/>
          <w:lang w:val="x-none" w:eastAsia="x-none"/>
        </w:rPr>
      </w:pPr>
      <w:r w:rsidRPr="006C6124">
        <w:rPr>
          <w:rFonts w:ascii="Calibri" w:eastAsia="Calibri" w:hAnsi="Calibri" w:cs="Calibri"/>
          <w:b/>
          <w:bCs/>
          <w:color w:val="000000"/>
          <w:u w:val="single"/>
        </w:rPr>
        <w:t>(k) Coordination with Employers.</w:t>
      </w:r>
      <w:r w:rsidRPr="006C6124">
        <w:rPr>
          <w:rFonts w:ascii="Calibri" w:eastAsia="Calibri" w:hAnsi="Calibri" w:cs="Calibri"/>
          <w:color w:val="000000"/>
        </w:rPr>
        <w:t xml:space="preserve"> In accordance with the requirements in section 101(a)(11)(E) of the Rehabilitation Act, describe how the VR agency will work with employers to identify competitive integrated employment and career exploration opportunities in order to facilitate the provision of VR services; and transition services for youth and students with disabilities, including pre-employment transition services for students with disabilities.</w:t>
      </w:r>
    </w:p>
    <w:p w14:paraId="6C4AD63F" w14:textId="47CBD3B2" w:rsidR="00012FA2" w:rsidRPr="006C6124" w:rsidRDefault="00012FA2" w:rsidP="00E36C9E">
      <w:pPr>
        <w:tabs>
          <w:tab w:val="left" w:pos="900"/>
        </w:tabs>
        <w:spacing w:after="5" w:line="250" w:lineRule="auto"/>
        <w:ind w:right="51"/>
        <w:rPr>
          <w:rFonts w:ascii="Calibri" w:eastAsia="Calibri" w:hAnsi="Calibri" w:cs="Calibri"/>
          <w:color w:val="000000"/>
          <w:lang w:eastAsia="x-none"/>
        </w:rPr>
      </w:pPr>
    </w:p>
    <w:p w14:paraId="23D555E8" w14:textId="79446593" w:rsidR="0058051C" w:rsidRPr="006C6124" w:rsidRDefault="0058051C" w:rsidP="0058051C">
      <w:pPr>
        <w:tabs>
          <w:tab w:val="left" w:pos="900"/>
        </w:tabs>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SSB works with employers to identify employment and career exploration opportunities in competitive and integrated settings. SSB has four employment specialists who work with employers to identify their needs in finding, attracting, and retaining an inclusive workforce. Employment specialists partner with employers to find qualified candidates</w:t>
      </w:r>
      <w:r w:rsidR="00C33C6A">
        <w:rPr>
          <w:rFonts w:ascii="Calibri" w:eastAsia="Calibri" w:hAnsi="Calibri" w:cs="Calibri"/>
          <w:color w:val="000000"/>
          <w:lang w:eastAsia="x-none"/>
        </w:rPr>
        <w:t>,</w:t>
      </w:r>
      <w:r w:rsidRPr="006C6124">
        <w:rPr>
          <w:rFonts w:ascii="Calibri" w:eastAsia="Calibri" w:hAnsi="Calibri" w:cs="Calibri"/>
          <w:color w:val="000000"/>
          <w:lang w:eastAsia="x-none"/>
        </w:rPr>
        <w:t xml:space="preserve"> as well as provide education on creating a diverse workforce, worksite analysis, training on disability employment-related topics, identifying improvements to promote inclusive hiring practices, providing information and referrals to other title partners, and job retention services for employees with a vision loss.</w:t>
      </w:r>
    </w:p>
    <w:p w14:paraId="573F48AC" w14:textId="77777777" w:rsidR="0058051C" w:rsidRPr="006C6124" w:rsidRDefault="0058051C" w:rsidP="0058051C">
      <w:pPr>
        <w:tabs>
          <w:tab w:val="left" w:pos="900"/>
        </w:tabs>
        <w:spacing w:after="5" w:line="250" w:lineRule="auto"/>
        <w:ind w:left="10" w:right="51" w:hanging="10"/>
        <w:rPr>
          <w:rFonts w:ascii="Calibri" w:eastAsia="Calibri" w:hAnsi="Calibri" w:cs="Calibri"/>
          <w:color w:val="000000"/>
          <w:lang w:eastAsia="x-none"/>
        </w:rPr>
      </w:pPr>
    </w:p>
    <w:p w14:paraId="4A4D5D67" w14:textId="4970B38C" w:rsidR="0058051C" w:rsidRPr="006C6124" w:rsidRDefault="0058051C" w:rsidP="0058051C">
      <w:pPr>
        <w:tabs>
          <w:tab w:val="left" w:pos="900"/>
        </w:tabs>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SSB employment specialists routinely attend and develop networking events to promote disability awareness and inclusivity training</w:t>
      </w:r>
      <w:r w:rsidR="00CC1CF3">
        <w:rPr>
          <w:rFonts w:ascii="Calibri" w:eastAsia="Calibri" w:hAnsi="Calibri" w:cs="Calibri"/>
          <w:color w:val="000000"/>
          <w:lang w:eastAsia="x-none"/>
        </w:rPr>
        <w:t>,</w:t>
      </w:r>
      <w:r w:rsidRPr="006C6124">
        <w:rPr>
          <w:rFonts w:ascii="Calibri" w:eastAsia="Calibri" w:hAnsi="Calibri" w:cs="Calibri"/>
          <w:color w:val="000000"/>
          <w:lang w:eastAsia="x-none"/>
        </w:rPr>
        <w:t xml:space="preserve"> as well as provide resources and technical assistance to employers in Minnesota and nationwide. SSB staff presented to State of Minnesota agency senior leadership and national and regional company leaders on the advantages of hiring people who are blind, visually impaired, and DeafBlind. SSB provided business services to recruit, onboard, and retain individuals with disabilities to multinational, national, and local employers. Education to employers includes how to recruit, onboard, and retain qualified candidates by creating and maintaining an inclusive and disability-friendly workplace through services like worksite assessments, resources, and technical assistance </w:t>
      </w:r>
      <w:r w:rsidR="00B93EE6">
        <w:rPr>
          <w:rFonts w:ascii="Calibri" w:eastAsia="Calibri" w:hAnsi="Calibri" w:cs="Calibri"/>
          <w:color w:val="000000"/>
          <w:lang w:eastAsia="x-none"/>
        </w:rPr>
        <w:t>such as</w:t>
      </w:r>
      <w:r w:rsidR="00B93EE6" w:rsidRPr="006C6124">
        <w:rPr>
          <w:rFonts w:ascii="Calibri" w:eastAsia="Calibri" w:hAnsi="Calibri" w:cs="Calibri"/>
          <w:color w:val="000000"/>
          <w:lang w:eastAsia="x-none"/>
        </w:rPr>
        <w:t xml:space="preserve"> </w:t>
      </w:r>
      <w:r w:rsidRPr="006C6124">
        <w:rPr>
          <w:rFonts w:ascii="Calibri" w:eastAsia="Calibri" w:hAnsi="Calibri" w:cs="Calibri"/>
          <w:color w:val="000000"/>
          <w:lang w:eastAsia="x-none"/>
        </w:rPr>
        <w:t>on-site accessibility testing of employer computer systems and data bases</w:t>
      </w:r>
      <w:r w:rsidR="005A2548">
        <w:rPr>
          <w:rFonts w:ascii="Calibri" w:eastAsia="Calibri" w:hAnsi="Calibri" w:cs="Calibri"/>
          <w:color w:val="000000"/>
          <w:lang w:eastAsia="x-none"/>
        </w:rPr>
        <w:t>,</w:t>
      </w:r>
      <w:r w:rsidRPr="006C6124">
        <w:rPr>
          <w:rFonts w:ascii="Calibri" w:eastAsia="Calibri" w:hAnsi="Calibri" w:cs="Calibri"/>
          <w:color w:val="000000"/>
          <w:lang w:eastAsia="x-none"/>
        </w:rPr>
        <w:t xml:space="preserve"> in addition to information accessibility support, at no charge. Providing these services to businesses helps support relationships with employers and enhance the exchange of labor market information to assist in the development of individual plans for employment and self-employment decision making. </w:t>
      </w:r>
    </w:p>
    <w:p w14:paraId="5CBE595D" w14:textId="77777777" w:rsidR="00B26C6E" w:rsidRPr="006C6124" w:rsidRDefault="00B26C6E" w:rsidP="0058051C">
      <w:pPr>
        <w:tabs>
          <w:tab w:val="left" w:pos="900"/>
        </w:tabs>
        <w:spacing w:after="5" w:line="250" w:lineRule="auto"/>
        <w:ind w:left="10" w:right="51" w:hanging="10"/>
        <w:rPr>
          <w:rFonts w:ascii="Calibri" w:eastAsia="Calibri" w:hAnsi="Calibri" w:cs="Calibri"/>
          <w:color w:val="000000"/>
          <w:lang w:eastAsia="x-none"/>
        </w:rPr>
      </w:pPr>
    </w:p>
    <w:p w14:paraId="15051422" w14:textId="4ECDEFF0" w:rsidR="0058051C" w:rsidRPr="006C6124" w:rsidRDefault="0058051C" w:rsidP="0058051C">
      <w:pPr>
        <w:tabs>
          <w:tab w:val="left" w:pos="900"/>
        </w:tabs>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 xml:space="preserve">SSB actively participates and provides leadership and guidance to local and national groups devoted to connecting employers to qualified individuals with disabilities in cooperation with other DEED entities and title partners related directly to services to businesses. This is done through the Council of State Administrators of Vocational Rehabilitation (CSAVR) and the CSAVR National Employment Team (NET), Statewide Business Engagement Networks (BENs), Chambers of Commerce, national self-employment networking and policy-making groups, and Disability: IN.  In return, the state provides advance communication of employment opportunities, improved communications about the State’s employment processes, assistance with </w:t>
      </w:r>
      <w:r w:rsidR="00D74627">
        <w:rPr>
          <w:rFonts w:ascii="Calibri" w:eastAsia="Calibri" w:hAnsi="Calibri" w:cs="Calibri"/>
          <w:color w:val="000000"/>
          <w:lang w:eastAsia="x-none"/>
        </w:rPr>
        <w:t>practice</w:t>
      </w:r>
      <w:r w:rsidR="00D74627" w:rsidRPr="006C6124">
        <w:rPr>
          <w:rFonts w:ascii="Calibri" w:eastAsia="Calibri" w:hAnsi="Calibri" w:cs="Calibri"/>
          <w:color w:val="000000"/>
          <w:lang w:eastAsia="x-none"/>
        </w:rPr>
        <w:t xml:space="preserve"> </w:t>
      </w:r>
      <w:r w:rsidRPr="006C6124">
        <w:rPr>
          <w:rFonts w:ascii="Calibri" w:eastAsia="Calibri" w:hAnsi="Calibri" w:cs="Calibri"/>
          <w:color w:val="000000"/>
          <w:lang w:eastAsia="x-none"/>
        </w:rPr>
        <w:t>interviews, and training to improve candidate performance in the hiring process. Various partners participate in career fairs, community outreach events, job information sessions, training sessions, resource sharing, and more. SSB staff routinely partner with other State of Minnesota agencies to provide training and modules for employers statewide. This includes partnering with the Department of Labor’s Apprenticeship Office, America’s Job Center, and other title partners. SSB staff participated in the development of online virtual learning modules available to all employers statewide on Minnesota’s America’s Job Center labor exchange website, titled Bite Sized Learning Modules. These modules are specific to employers and were developed following a period of input from Minnesota businesses. </w:t>
      </w:r>
    </w:p>
    <w:p w14:paraId="314E4A39" w14:textId="77777777" w:rsidR="00B26C6E" w:rsidRPr="006C6124" w:rsidRDefault="00B26C6E" w:rsidP="0058051C">
      <w:pPr>
        <w:tabs>
          <w:tab w:val="left" w:pos="900"/>
        </w:tabs>
        <w:spacing w:after="5" w:line="250" w:lineRule="auto"/>
        <w:ind w:left="10" w:right="51" w:hanging="10"/>
        <w:rPr>
          <w:rFonts w:ascii="Calibri" w:eastAsia="Calibri" w:hAnsi="Calibri" w:cs="Calibri"/>
          <w:color w:val="000000"/>
          <w:lang w:eastAsia="x-none"/>
        </w:rPr>
      </w:pPr>
    </w:p>
    <w:p w14:paraId="7EE21C69" w14:textId="631178CF" w:rsidR="0058051C" w:rsidRDefault="0058051C" w:rsidP="00163697">
      <w:pPr>
        <w:tabs>
          <w:tab w:val="left" w:pos="900"/>
        </w:tabs>
        <w:spacing w:after="240"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The NET through CSAVR is comprised of one point of contact for each of the 78 rehabilitation programs nationwide. The sole purpose of this team is to connect with employers on a national level including private employers and federal partners. The NET enables SSB to connect with new employers monthly and receive correspondence and job leads from twelve or more employers each month. Each year</w:t>
      </w:r>
      <w:r w:rsidR="0074665E">
        <w:rPr>
          <w:rFonts w:ascii="Calibri" w:eastAsia="Calibri" w:hAnsi="Calibri" w:cs="Calibri"/>
          <w:color w:val="000000"/>
          <w:lang w:eastAsia="x-none"/>
        </w:rPr>
        <w:t>,</w:t>
      </w:r>
      <w:r w:rsidRPr="006C6124">
        <w:rPr>
          <w:rFonts w:ascii="Calibri" w:eastAsia="Calibri" w:hAnsi="Calibri" w:cs="Calibri"/>
          <w:color w:val="000000"/>
          <w:lang w:eastAsia="x-none"/>
        </w:rPr>
        <w:t xml:space="preserve"> SSB has customers hired by employers through NET employer connections. SSB also frequently acts as the subject matter expert and resource for other state programs that connect directly to employers across Minnesota. SSB utilizes the relationships with these business partners to supplement the efficiency of contracted Community Rehabilitation Providers, giving more than six one-on-one presentations with employers last year.</w:t>
      </w:r>
    </w:p>
    <w:p w14:paraId="28F841CC" w14:textId="0E8813E3" w:rsidR="009A0786" w:rsidRPr="006C6124" w:rsidRDefault="00012FA2" w:rsidP="00012FA2">
      <w:pPr>
        <w:tabs>
          <w:tab w:val="left" w:pos="900"/>
        </w:tabs>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 xml:space="preserve">The </w:t>
      </w:r>
      <w:r w:rsidR="009209EE">
        <w:rPr>
          <w:rFonts w:ascii="Calibri" w:eastAsia="Calibri" w:hAnsi="Calibri" w:cs="Calibri"/>
          <w:color w:val="000000"/>
          <w:lang w:eastAsia="x-none"/>
        </w:rPr>
        <w:t>Pre-ETS and</w:t>
      </w:r>
      <w:r w:rsidRPr="006C6124">
        <w:rPr>
          <w:rFonts w:ascii="Calibri" w:eastAsia="Calibri" w:hAnsi="Calibri" w:cs="Calibri"/>
          <w:color w:val="000000"/>
          <w:lang w:eastAsia="x-none"/>
        </w:rPr>
        <w:t xml:space="preserve"> transition team at State Services for the Blind is comprised of a Pre-ETS and Transition Program Manager, VR counselors specializing in </w:t>
      </w:r>
      <w:r w:rsidR="005B5A47">
        <w:rPr>
          <w:rFonts w:ascii="Calibri" w:eastAsia="Calibri" w:hAnsi="Calibri" w:cs="Calibri"/>
          <w:color w:val="000000"/>
          <w:lang w:eastAsia="x-none"/>
        </w:rPr>
        <w:t>Pre-ETS and</w:t>
      </w:r>
      <w:r w:rsidRPr="006C6124">
        <w:rPr>
          <w:rFonts w:ascii="Calibri" w:eastAsia="Calibri" w:hAnsi="Calibri" w:cs="Calibri"/>
          <w:color w:val="000000"/>
          <w:lang w:eastAsia="x-none"/>
        </w:rPr>
        <w:t xml:space="preserve"> transition, a </w:t>
      </w:r>
      <w:r w:rsidR="005B5A47">
        <w:rPr>
          <w:rFonts w:ascii="Calibri" w:eastAsia="Calibri" w:hAnsi="Calibri" w:cs="Calibri"/>
          <w:color w:val="000000"/>
          <w:lang w:eastAsia="x-none"/>
        </w:rPr>
        <w:t>Pre-ETS and</w:t>
      </w:r>
      <w:r w:rsidRPr="006C6124">
        <w:rPr>
          <w:rFonts w:ascii="Calibri" w:eastAsia="Calibri" w:hAnsi="Calibri" w:cs="Calibri"/>
          <w:color w:val="000000"/>
          <w:lang w:eastAsia="x-none"/>
        </w:rPr>
        <w:t xml:space="preserve"> Transition Coordinator, Work Opportunities Navigators specifically serving students and youth, an assistive technologist, support staff, and additional specialists</w:t>
      </w:r>
      <w:r w:rsidR="005B5A47">
        <w:rPr>
          <w:rFonts w:ascii="Calibri" w:eastAsia="Calibri" w:hAnsi="Calibri" w:cs="Calibri"/>
          <w:color w:val="000000"/>
          <w:lang w:eastAsia="x-none"/>
        </w:rPr>
        <w:t>,</w:t>
      </w:r>
      <w:r w:rsidRPr="006C6124">
        <w:rPr>
          <w:rFonts w:ascii="Calibri" w:eastAsia="Calibri" w:hAnsi="Calibri" w:cs="Calibri"/>
          <w:color w:val="000000"/>
          <w:lang w:eastAsia="x-none"/>
        </w:rPr>
        <w:t xml:space="preserve"> including Orientation and Mobility instructors and job coaches (these specialists serve students and adults)</w:t>
      </w:r>
      <w:r w:rsidR="009A0786" w:rsidRPr="006C6124">
        <w:rPr>
          <w:rFonts w:ascii="Calibri" w:eastAsia="Calibri" w:hAnsi="Calibri" w:cs="Calibri"/>
          <w:color w:val="000000"/>
          <w:lang w:eastAsia="x-none"/>
        </w:rPr>
        <w:t>.</w:t>
      </w:r>
    </w:p>
    <w:p w14:paraId="24F0501D" w14:textId="44A92B8B" w:rsidR="00012FA2" w:rsidRPr="006C6124" w:rsidRDefault="00012FA2" w:rsidP="00012FA2">
      <w:pPr>
        <w:tabs>
          <w:tab w:val="left" w:pos="900"/>
        </w:tabs>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 xml:space="preserve"> </w:t>
      </w:r>
    </w:p>
    <w:p w14:paraId="323E3DCE" w14:textId="77777777" w:rsidR="00012FA2" w:rsidRPr="006C6124" w:rsidRDefault="00012FA2" w:rsidP="00AB7B33">
      <w:pPr>
        <w:tabs>
          <w:tab w:val="left" w:pos="900"/>
        </w:tabs>
        <w:spacing w:after="120"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lastRenderedPageBreak/>
        <w:t xml:space="preserve">SSB has implemented a model for transition called BRIDGE to Success that is implemented with all eligible and potentially eligible transition students. BRIDGE encapsulates SSB’s philosophy upon which our youth services are built. BRIDGE stands for: </w:t>
      </w:r>
    </w:p>
    <w:p w14:paraId="18D5D670" w14:textId="77777777" w:rsidR="00012FA2" w:rsidRPr="006C6124" w:rsidRDefault="00012FA2" w:rsidP="00AB7B33">
      <w:pPr>
        <w:tabs>
          <w:tab w:val="left" w:pos="900"/>
        </w:tabs>
        <w:spacing w:after="20"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 xml:space="preserve">•Basic Skills </w:t>
      </w:r>
    </w:p>
    <w:p w14:paraId="5E904EEB" w14:textId="77777777" w:rsidR="00012FA2" w:rsidRPr="006C6124" w:rsidRDefault="00012FA2" w:rsidP="00AB7B33">
      <w:pPr>
        <w:tabs>
          <w:tab w:val="left" w:pos="900"/>
        </w:tabs>
        <w:spacing w:after="20"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 xml:space="preserve">•Role Models </w:t>
      </w:r>
    </w:p>
    <w:p w14:paraId="5BFDF98E" w14:textId="619A2888" w:rsidR="00012FA2" w:rsidRDefault="00012FA2" w:rsidP="00AB7B33">
      <w:pPr>
        <w:tabs>
          <w:tab w:val="left" w:pos="900"/>
        </w:tabs>
        <w:spacing w:after="20" w:line="250" w:lineRule="auto"/>
        <w:ind w:left="14" w:right="58" w:hanging="14"/>
        <w:rPr>
          <w:rFonts w:ascii="Calibri" w:eastAsia="Calibri" w:hAnsi="Calibri" w:cs="Calibri"/>
          <w:color w:val="000000" w:themeColor="text1"/>
        </w:rPr>
      </w:pPr>
      <w:r w:rsidRPr="0D579DC2">
        <w:rPr>
          <w:rFonts w:ascii="Calibri" w:eastAsia="Calibri" w:hAnsi="Calibri" w:cs="Calibri"/>
          <w:color w:val="000000" w:themeColor="text1"/>
        </w:rPr>
        <w:t xml:space="preserve">•Initiative </w:t>
      </w:r>
    </w:p>
    <w:p w14:paraId="1989CD91" w14:textId="77777777" w:rsidR="00012FA2" w:rsidRPr="006C6124" w:rsidRDefault="00012FA2" w:rsidP="00AB7B33">
      <w:pPr>
        <w:tabs>
          <w:tab w:val="left" w:pos="900"/>
        </w:tabs>
        <w:spacing w:after="20"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 xml:space="preserve">•Discovery </w:t>
      </w:r>
    </w:p>
    <w:p w14:paraId="569FF696" w14:textId="77777777" w:rsidR="00012FA2" w:rsidRPr="006C6124" w:rsidRDefault="00012FA2" w:rsidP="00AB7B33">
      <w:pPr>
        <w:tabs>
          <w:tab w:val="left" w:pos="900"/>
        </w:tabs>
        <w:spacing w:after="20"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 xml:space="preserve">•Goal Setting </w:t>
      </w:r>
    </w:p>
    <w:p w14:paraId="7470C121" w14:textId="0703D163" w:rsidR="00012FA2" w:rsidRPr="006C6124" w:rsidRDefault="00012FA2" w:rsidP="0D579DC2">
      <w:pPr>
        <w:tabs>
          <w:tab w:val="left" w:pos="900"/>
        </w:tabs>
        <w:spacing w:after="120" w:line="250" w:lineRule="auto"/>
        <w:ind w:left="14" w:right="58" w:hanging="14"/>
        <w:rPr>
          <w:rFonts w:ascii="Calibri" w:eastAsia="Calibri" w:hAnsi="Calibri" w:cs="Calibri"/>
          <w:color w:val="000000"/>
          <w:lang w:eastAsia="x-none"/>
        </w:rPr>
      </w:pPr>
      <w:r w:rsidRPr="0D579DC2">
        <w:rPr>
          <w:rFonts w:ascii="Calibri" w:eastAsia="Calibri" w:hAnsi="Calibri" w:cs="Calibri"/>
          <w:color w:val="000000" w:themeColor="text1"/>
        </w:rPr>
        <w:t xml:space="preserve">•Experiences </w:t>
      </w:r>
    </w:p>
    <w:p w14:paraId="24AE048E" w14:textId="77777777" w:rsidR="00012FA2" w:rsidRPr="006C6124" w:rsidRDefault="00012FA2" w:rsidP="0D579DC2">
      <w:pPr>
        <w:tabs>
          <w:tab w:val="left" w:pos="900"/>
        </w:tabs>
        <w:spacing w:before="120" w:after="5" w:line="250" w:lineRule="auto"/>
        <w:ind w:left="10" w:right="51" w:hanging="10"/>
        <w:rPr>
          <w:rFonts w:ascii="Calibri" w:eastAsia="Calibri" w:hAnsi="Calibri" w:cs="Calibri"/>
          <w:color w:val="000000"/>
          <w:lang w:eastAsia="x-none"/>
        </w:rPr>
      </w:pPr>
      <w:r w:rsidRPr="0D579DC2">
        <w:rPr>
          <w:rFonts w:ascii="Calibri" w:eastAsia="Calibri" w:hAnsi="Calibri" w:cs="Calibri"/>
          <w:color w:val="000000" w:themeColor="text1"/>
        </w:rPr>
        <w:t xml:space="preserve">In particular, our team connects with employers to provide job exploration counseling and work-based learning experiences.  </w:t>
      </w:r>
    </w:p>
    <w:p w14:paraId="42F16EE9" w14:textId="77777777" w:rsidR="00012FA2" w:rsidRPr="006C6124" w:rsidRDefault="00012FA2" w:rsidP="00012FA2">
      <w:pPr>
        <w:tabs>
          <w:tab w:val="left" w:pos="900"/>
        </w:tabs>
        <w:spacing w:after="5" w:line="250" w:lineRule="auto"/>
        <w:ind w:left="10" w:right="51" w:hanging="10"/>
        <w:rPr>
          <w:rFonts w:ascii="Calibri" w:eastAsia="Calibri" w:hAnsi="Calibri" w:cs="Calibri"/>
          <w:color w:val="000000"/>
          <w:lang w:eastAsia="x-none"/>
        </w:rPr>
      </w:pPr>
    </w:p>
    <w:p w14:paraId="4338CABE" w14:textId="1582AD2F" w:rsidR="00012FA2" w:rsidRPr="006C6124" w:rsidRDefault="00012FA2" w:rsidP="00012FA2">
      <w:pPr>
        <w:tabs>
          <w:tab w:val="left" w:pos="900"/>
        </w:tabs>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 xml:space="preserve">Job exploration counseling: SSB’s Work Opportunity Navigators reach out to community employers to identify job shadows and job tours to facilitate career exploration for students. SSB’s </w:t>
      </w:r>
      <w:r w:rsidR="005B5A47">
        <w:rPr>
          <w:rFonts w:ascii="Calibri" w:eastAsia="Calibri" w:hAnsi="Calibri" w:cs="Calibri"/>
          <w:color w:val="000000"/>
          <w:lang w:eastAsia="x-none"/>
        </w:rPr>
        <w:t>Pre-ETS and</w:t>
      </w:r>
      <w:r w:rsidRPr="006C6124">
        <w:rPr>
          <w:rFonts w:ascii="Calibri" w:eastAsia="Calibri" w:hAnsi="Calibri" w:cs="Calibri"/>
          <w:color w:val="000000"/>
          <w:lang w:eastAsia="x-none"/>
        </w:rPr>
        <w:t xml:space="preserve"> Transition Coordinator facilitates a Career Expo event, where blind, low vision, and </w:t>
      </w:r>
      <w:r w:rsidR="00E95E5F">
        <w:rPr>
          <w:rFonts w:ascii="Calibri" w:eastAsia="Calibri" w:hAnsi="Calibri" w:cs="Calibri"/>
          <w:color w:val="000000"/>
          <w:lang w:eastAsia="x-none"/>
        </w:rPr>
        <w:t>DeafBlind</w:t>
      </w:r>
      <w:r w:rsidR="00E95E5F" w:rsidRPr="006C6124">
        <w:rPr>
          <w:rFonts w:ascii="Calibri" w:eastAsia="Calibri" w:hAnsi="Calibri" w:cs="Calibri"/>
          <w:color w:val="000000"/>
          <w:lang w:eastAsia="x-none"/>
        </w:rPr>
        <w:t xml:space="preserve"> </w:t>
      </w:r>
      <w:r w:rsidRPr="006C6124">
        <w:rPr>
          <w:rFonts w:ascii="Calibri" w:eastAsia="Calibri" w:hAnsi="Calibri" w:cs="Calibri"/>
          <w:color w:val="000000"/>
          <w:lang w:eastAsia="x-none"/>
        </w:rPr>
        <w:t>employees from various sectors of the workforce come together and network with students about their journey to employment and working in the community. SSB staff connect</w:t>
      </w:r>
      <w:r w:rsidR="00DF6B9B">
        <w:rPr>
          <w:rFonts w:ascii="Calibri" w:eastAsia="Calibri" w:hAnsi="Calibri" w:cs="Calibri"/>
          <w:color w:val="000000"/>
          <w:lang w:eastAsia="x-none"/>
        </w:rPr>
        <w:t>s</w:t>
      </w:r>
      <w:r w:rsidRPr="006C6124">
        <w:rPr>
          <w:rFonts w:ascii="Calibri" w:eastAsia="Calibri" w:hAnsi="Calibri" w:cs="Calibri"/>
          <w:color w:val="000000"/>
          <w:lang w:eastAsia="x-none"/>
        </w:rPr>
        <w:t xml:space="preserve"> with employers to gain an understanding of what occupation needs are open in their business and network to match students with employers for informational interviews. Work Opportunity Navigators bring students into businesses to talk with employers and to network with employers by learning about job openings and </w:t>
      </w:r>
      <w:r w:rsidR="004675A0" w:rsidRPr="006C6124">
        <w:rPr>
          <w:rFonts w:ascii="Calibri" w:eastAsia="Calibri" w:hAnsi="Calibri" w:cs="Calibri"/>
          <w:color w:val="000000"/>
          <w:lang w:eastAsia="x-none"/>
        </w:rPr>
        <w:t xml:space="preserve">in demand </w:t>
      </w:r>
      <w:r w:rsidRPr="006C6124">
        <w:rPr>
          <w:rFonts w:ascii="Calibri" w:eastAsia="Calibri" w:hAnsi="Calibri" w:cs="Calibri"/>
          <w:color w:val="000000"/>
          <w:lang w:eastAsia="x-none"/>
        </w:rPr>
        <w:t>community occupations</w:t>
      </w:r>
      <w:r w:rsidR="004675A0">
        <w:rPr>
          <w:rFonts w:ascii="Calibri" w:eastAsia="Calibri" w:hAnsi="Calibri" w:cs="Calibri"/>
          <w:color w:val="000000"/>
          <w:lang w:eastAsia="x-none"/>
        </w:rPr>
        <w:t>,</w:t>
      </w:r>
      <w:r w:rsidRPr="006C6124">
        <w:rPr>
          <w:rFonts w:ascii="Calibri" w:eastAsia="Calibri" w:hAnsi="Calibri" w:cs="Calibri"/>
          <w:color w:val="000000"/>
          <w:lang w:eastAsia="x-none"/>
        </w:rPr>
        <w:t xml:space="preserve"> while coaching students on networking and professionalism skills needed when approaching potential employers. </w:t>
      </w:r>
    </w:p>
    <w:p w14:paraId="74C6BCA7" w14:textId="77777777" w:rsidR="00012FA2" w:rsidRPr="006C6124" w:rsidRDefault="00012FA2" w:rsidP="00012FA2">
      <w:pPr>
        <w:tabs>
          <w:tab w:val="left" w:pos="900"/>
        </w:tabs>
        <w:spacing w:after="5" w:line="250" w:lineRule="auto"/>
        <w:ind w:left="10" w:right="51" w:hanging="10"/>
        <w:rPr>
          <w:rFonts w:ascii="Calibri" w:eastAsia="Calibri" w:hAnsi="Calibri" w:cs="Calibri"/>
          <w:color w:val="000000"/>
          <w:lang w:eastAsia="x-none"/>
        </w:rPr>
      </w:pPr>
    </w:p>
    <w:p w14:paraId="07404683" w14:textId="130A6860" w:rsidR="00012FA2" w:rsidRPr="006C6124" w:rsidRDefault="00AB7B33" w:rsidP="00012FA2">
      <w:pPr>
        <w:tabs>
          <w:tab w:val="left" w:pos="900"/>
        </w:tabs>
        <w:spacing w:after="5" w:line="250" w:lineRule="auto"/>
        <w:ind w:left="10" w:right="51" w:hanging="10"/>
        <w:rPr>
          <w:rFonts w:ascii="Calibri" w:eastAsia="Calibri" w:hAnsi="Calibri" w:cs="Calibri"/>
          <w:color w:val="000000"/>
          <w:lang w:eastAsia="x-none"/>
        </w:rPr>
      </w:pPr>
      <w:r w:rsidRPr="006C6124">
        <w:rPr>
          <w:rFonts w:ascii="Calibri" w:eastAsia="Calibri" w:hAnsi="Calibri" w:cs="Calibri"/>
          <w:color w:val="000000"/>
          <w:lang w:eastAsia="x-none"/>
        </w:rPr>
        <w:t>W</w:t>
      </w:r>
      <w:r w:rsidR="00012FA2" w:rsidRPr="006C6124">
        <w:rPr>
          <w:rFonts w:ascii="Calibri" w:eastAsia="Calibri" w:hAnsi="Calibri" w:cs="Calibri"/>
          <w:color w:val="000000"/>
          <w:lang w:eastAsia="x-none"/>
        </w:rPr>
        <w:t>ork-based learning experiences: Transition Navigators connect with employers to identify work opportunities that are available for students. SSB’s transition team connects students with regional work programs, such as Step Up for students in Minneapolis and BrookLynk for students in the northwest metro. Students work with internal SSB staff and community rehabilitation providers to engage in work experiences from volunteering</w:t>
      </w:r>
      <w:r w:rsidR="005630B3">
        <w:rPr>
          <w:rFonts w:ascii="Calibri" w:eastAsia="Calibri" w:hAnsi="Calibri" w:cs="Calibri"/>
          <w:color w:val="000000"/>
          <w:lang w:eastAsia="x-none"/>
        </w:rPr>
        <w:t>,</w:t>
      </w:r>
      <w:r w:rsidR="00012FA2" w:rsidRPr="006C6124">
        <w:rPr>
          <w:rFonts w:ascii="Calibri" w:eastAsia="Calibri" w:hAnsi="Calibri" w:cs="Calibri"/>
          <w:color w:val="000000"/>
          <w:lang w:eastAsia="x-none"/>
        </w:rPr>
        <w:t xml:space="preserve"> to obtaining internships. Work Opportunities Navigators, </w:t>
      </w:r>
      <w:r w:rsidR="00034E7E">
        <w:rPr>
          <w:rFonts w:ascii="Calibri" w:eastAsia="Calibri" w:hAnsi="Calibri" w:cs="Calibri"/>
          <w:color w:val="000000"/>
          <w:lang w:eastAsia="x-none"/>
        </w:rPr>
        <w:t>Pre-ETS and</w:t>
      </w:r>
      <w:r w:rsidR="00012FA2" w:rsidRPr="006C6124">
        <w:rPr>
          <w:rFonts w:ascii="Calibri" w:eastAsia="Calibri" w:hAnsi="Calibri" w:cs="Calibri"/>
          <w:color w:val="000000"/>
          <w:lang w:eastAsia="x-none"/>
        </w:rPr>
        <w:t xml:space="preserve"> Transition Coordinator, and </w:t>
      </w:r>
      <w:r w:rsidR="00034E7E">
        <w:rPr>
          <w:rFonts w:ascii="Calibri" w:eastAsia="Calibri" w:hAnsi="Calibri" w:cs="Calibri"/>
          <w:color w:val="000000"/>
          <w:lang w:eastAsia="x-none"/>
        </w:rPr>
        <w:t>c</w:t>
      </w:r>
      <w:r w:rsidR="00012FA2" w:rsidRPr="006C6124">
        <w:rPr>
          <w:rFonts w:ascii="Calibri" w:eastAsia="Calibri" w:hAnsi="Calibri" w:cs="Calibri"/>
          <w:color w:val="000000"/>
          <w:lang w:eastAsia="x-none"/>
        </w:rPr>
        <w:t xml:space="preserve">ounselors compile a list of summer internship opportunities in the community and then conduct targeted outreach to students who qualify for various opportunities. SSB </w:t>
      </w:r>
      <w:r w:rsidR="004473BB">
        <w:rPr>
          <w:rFonts w:ascii="Calibri" w:eastAsia="Calibri" w:hAnsi="Calibri" w:cs="Calibri"/>
          <w:color w:val="000000"/>
          <w:lang w:eastAsia="x-none"/>
        </w:rPr>
        <w:t>s</w:t>
      </w:r>
      <w:r w:rsidR="00012FA2" w:rsidRPr="006C6124">
        <w:rPr>
          <w:rFonts w:ascii="Calibri" w:eastAsia="Calibri" w:hAnsi="Calibri" w:cs="Calibri"/>
          <w:color w:val="000000"/>
          <w:lang w:eastAsia="x-none"/>
        </w:rPr>
        <w:t>taff let students know about the opportunities</w:t>
      </w:r>
      <w:r w:rsidR="00707A6E">
        <w:rPr>
          <w:rFonts w:ascii="Calibri" w:eastAsia="Calibri" w:hAnsi="Calibri" w:cs="Calibri"/>
          <w:color w:val="000000"/>
          <w:lang w:eastAsia="x-none"/>
        </w:rPr>
        <w:t>,</w:t>
      </w:r>
      <w:r w:rsidR="00012FA2" w:rsidRPr="006C6124">
        <w:rPr>
          <w:rFonts w:ascii="Calibri" w:eastAsia="Calibri" w:hAnsi="Calibri" w:cs="Calibri"/>
          <w:color w:val="000000"/>
          <w:lang w:eastAsia="x-none"/>
        </w:rPr>
        <w:t xml:space="preserve"> as well as assists with applications. </w:t>
      </w:r>
    </w:p>
    <w:p w14:paraId="2088C0BF" w14:textId="129C1552" w:rsidR="00012FA2" w:rsidRPr="006C6124" w:rsidRDefault="00012FA2" w:rsidP="00E3690E">
      <w:pPr>
        <w:tabs>
          <w:tab w:val="left" w:pos="900"/>
        </w:tabs>
        <w:spacing w:before="120" w:after="5"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 xml:space="preserve">SSB Work Opportunity Navigators support students through orientation and training when work opportunities are developed. SSB staff </w:t>
      </w:r>
      <w:r w:rsidR="007E1F34">
        <w:rPr>
          <w:rFonts w:ascii="Calibri" w:eastAsia="Calibri" w:hAnsi="Calibri" w:cs="Calibri"/>
          <w:color w:val="000000"/>
          <w:lang w:eastAsia="x-none"/>
        </w:rPr>
        <w:t xml:space="preserve">members </w:t>
      </w:r>
      <w:r w:rsidRPr="006C6124">
        <w:rPr>
          <w:rFonts w:ascii="Calibri" w:eastAsia="Calibri" w:hAnsi="Calibri" w:cs="Calibri"/>
          <w:color w:val="000000"/>
          <w:lang w:eastAsia="x-none"/>
        </w:rPr>
        <w:t>engage in the interactive process between students and employers to help address and problem-solve accessibility barriers that may present in the workplace to ensure student</w:t>
      </w:r>
      <w:r w:rsidR="00196F50">
        <w:rPr>
          <w:rFonts w:ascii="Calibri" w:eastAsia="Calibri" w:hAnsi="Calibri" w:cs="Calibri"/>
          <w:color w:val="000000"/>
          <w:lang w:eastAsia="x-none"/>
        </w:rPr>
        <w:t>s’</w:t>
      </w:r>
      <w:r w:rsidRPr="006C6124">
        <w:rPr>
          <w:rFonts w:ascii="Calibri" w:eastAsia="Calibri" w:hAnsi="Calibri" w:cs="Calibri"/>
          <w:color w:val="000000"/>
          <w:lang w:eastAsia="x-none"/>
        </w:rPr>
        <w:t xml:space="preserve"> success and employer</w:t>
      </w:r>
      <w:r w:rsidR="007E1B9E">
        <w:rPr>
          <w:rFonts w:ascii="Calibri" w:eastAsia="Calibri" w:hAnsi="Calibri" w:cs="Calibri"/>
          <w:color w:val="000000"/>
          <w:lang w:eastAsia="x-none"/>
        </w:rPr>
        <w:t>s’</w:t>
      </w:r>
      <w:r w:rsidRPr="006C6124">
        <w:rPr>
          <w:rFonts w:ascii="Calibri" w:eastAsia="Calibri" w:hAnsi="Calibri" w:cs="Calibri"/>
          <w:color w:val="000000"/>
          <w:lang w:eastAsia="x-none"/>
        </w:rPr>
        <w:t xml:space="preserve"> understanding of how to accommodate and work with the strengths of students.  For example, SSB has two in-house job coaches who connect with employers to provide workplace readiness training and job coaching when a need arises during a work-based learning experience. For students who need more frequent support, SSB works with community partners to authorize those services.  SSB staff connect</w:t>
      </w:r>
      <w:r w:rsidR="00F074F1">
        <w:rPr>
          <w:rFonts w:ascii="Calibri" w:eastAsia="Calibri" w:hAnsi="Calibri" w:cs="Calibri"/>
          <w:color w:val="000000"/>
          <w:lang w:eastAsia="x-none"/>
        </w:rPr>
        <w:t>s</w:t>
      </w:r>
      <w:r w:rsidRPr="006C6124">
        <w:rPr>
          <w:rFonts w:ascii="Calibri" w:eastAsia="Calibri" w:hAnsi="Calibri" w:cs="Calibri"/>
          <w:color w:val="000000"/>
          <w:lang w:eastAsia="x-none"/>
        </w:rPr>
        <w:t xml:space="preserve"> with managerial staff to check in and follow</w:t>
      </w:r>
      <w:r w:rsidR="00F074F1">
        <w:rPr>
          <w:rFonts w:ascii="Calibri" w:eastAsia="Calibri" w:hAnsi="Calibri" w:cs="Calibri"/>
          <w:color w:val="000000"/>
          <w:lang w:eastAsia="x-none"/>
        </w:rPr>
        <w:t>s</w:t>
      </w:r>
      <w:r w:rsidRPr="006C6124">
        <w:rPr>
          <w:rFonts w:ascii="Calibri" w:eastAsia="Calibri" w:hAnsi="Calibri" w:cs="Calibri"/>
          <w:color w:val="000000"/>
          <w:lang w:eastAsia="x-none"/>
        </w:rPr>
        <w:t xml:space="preserve"> up after work experiences are underway to ensure student success and development throughout work experiences. </w:t>
      </w:r>
    </w:p>
    <w:p w14:paraId="617D8047" w14:textId="08EAA29D" w:rsidR="00012FA2" w:rsidRPr="006C6124" w:rsidRDefault="00CD3346" w:rsidP="00E3690E">
      <w:pPr>
        <w:tabs>
          <w:tab w:val="left" w:pos="900"/>
        </w:tabs>
        <w:spacing w:before="120" w:after="5" w:line="250" w:lineRule="auto"/>
        <w:ind w:left="14" w:right="58" w:hanging="14"/>
        <w:rPr>
          <w:rFonts w:ascii="Calibri" w:eastAsia="Calibri" w:hAnsi="Calibri" w:cs="Calibri"/>
          <w:color w:val="000000"/>
          <w:lang w:eastAsia="x-none"/>
        </w:rPr>
      </w:pPr>
      <w:r>
        <w:rPr>
          <w:rFonts w:ascii="Calibri" w:eastAsia="Calibri" w:hAnsi="Calibri" w:cs="Calibri"/>
          <w:color w:val="000000"/>
          <w:lang w:eastAsia="x-none"/>
        </w:rPr>
        <w:t xml:space="preserve">SSB participates in </w:t>
      </w:r>
      <w:r w:rsidR="00012FA2" w:rsidRPr="006C6124">
        <w:rPr>
          <w:rFonts w:ascii="Calibri" w:eastAsia="Calibri" w:hAnsi="Calibri" w:cs="Calibri"/>
          <w:color w:val="000000"/>
          <w:lang w:eastAsia="x-none"/>
        </w:rPr>
        <w:t>Project SEARCH</w:t>
      </w:r>
      <w:r>
        <w:rPr>
          <w:rFonts w:ascii="Calibri" w:eastAsia="Calibri" w:hAnsi="Calibri" w:cs="Calibri"/>
          <w:color w:val="000000"/>
          <w:lang w:eastAsia="x-none"/>
        </w:rPr>
        <w:t>, which</w:t>
      </w:r>
      <w:r w:rsidR="00012FA2" w:rsidRPr="006C6124">
        <w:rPr>
          <w:rFonts w:ascii="Calibri" w:eastAsia="Calibri" w:hAnsi="Calibri" w:cs="Calibri"/>
          <w:color w:val="000000"/>
          <w:lang w:eastAsia="x-none"/>
        </w:rPr>
        <w:t xml:space="preserve"> is a business</w:t>
      </w:r>
      <w:r w:rsidR="009B2069">
        <w:rPr>
          <w:rFonts w:ascii="Calibri" w:eastAsia="Calibri" w:hAnsi="Calibri" w:cs="Calibri"/>
          <w:color w:val="000000"/>
          <w:lang w:eastAsia="x-none"/>
        </w:rPr>
        <w:t>-</w:t>
      </w:r>
      <w:r w:rsidR="00012FA2" w:rsidRPr="006C6124">
        <w:rPr>
          <w:rFonts w:ascii="Calibri" w:eastAsia="Calibri" w:hAnsi="Calibri" w:cs="Calibri"/>
          <w:color w:val="000000"/>
          <w:lang w:eastAsia="x-none"/>
        </w:rPr>
        <w:t>led collaboration that enables young adults with disabilities to gain and maintain employment through training and career exploration.</w:t>
      </w:r>
    </w:p>
    <w:p w14:paraId="22B7FC5A" w14:textId="32E77DBC" w:rsidR="00012FA2" w:rsidRPr="006C6124" w:rsidRDefault="00012FA2" w:rsidP="00E3690E">
      <w:pPr>
        <w:tabs>
          <w:tab w:val="left" w:pos="900"/>
        </w:tabs>
        <w:spacing w:before="120" w:after="5"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A 9-12 month program, Project SEARCH provides total immersion in a large community business. Students with disabilities are offered a workforce alternative for their last year of high school.</w:t>
      </w:r>
    </w:p>
    <w:p w14:paraId="0758D6B3" w14:textId="2C6D20E0" w:rsidR="00012FA2" w:rsidRPr="006C6124" w:rsidRDefault="00012FA2" w:rsidP="00E3690E">
      <w:pPr>
        <w:tabs>
          <w:tab w:val="left" w:pos="900"/>
        </w:tabs>
        <w:spacing w:before="120" w:after="5" w:line="250" w:lineRule="auto"/>
        <w:ind w:left="14" w:right="58" w:hanging="14"/>
        <w:rPr>
          <w:rFonts w:ascii="Calibri" w:eastAsia="Calibri" w:hAnsi="Calibri" w:cs="Calibri"/>
          <w:color w:val="000000"/>
          <w:lang w:eastAsia="x-none"/>
        </w:rPr>
      </w:pPr>
      <w:r w:rsidRPr="006C6124">
        <w:rPr>
          <w:rFonts w:ascii="Calibri" w:eastAsia="Calibri" w:hAnsi="Calibri" w:cs="Calibri"/>
          <w:color w:val="000000"/>
          <w:lang w:eastAsia="x-none"/>
        </w:rPr>
        <w:t>The Project SEARCH partnership includes a local host business, a school, VRS</w:t>
      </w:r>
      <w:r w:rsidR="005F4BDC">
        <w:rPr>
          <w:rFonts w:ascii="Calibri" w:eastAsia="Calibri" w:hAnsi="Calibri" w:cs="Calibri"/>
          <w:color w:val="000000"/>
          <w:lang w:eastAsia="x-none"/>
        </w:rPr>
        <w:t>/SSB</w:t>
      </w:r>
      <w:r w:rsidRPr="006C6124">
        <w:rPr>
          <w:rFonts w:ascii="Calibri" w:eastAsia="Calibri" w:hAnsi="Calibri" w:cs="Calibri"/>
          <w:color w:val="000000"/>
          <w:lang w:eastAsia="x-none"/>
        </w:rPr>
        <w:t>, a Community Service Provider</w:t>
      </w:r>
      <w:r w:rsidR="00C503BB">
        <w:rPr>
          <w:rFonts w:ascii="Calibri" w:eastAsia="Calibri" w:hAnsi="Calibri" w:cs="Calibri"/>
          <w:color w:val="000000"/>
          <w:lang w:eastAsia="x-none"/>
        </w:rPr>
        <w:t>,</w:t>
      </w:r>
      <w:r w:rsidRPr="006C6124">
        <w:rPr>
          <w:rFonts w:ascii="Calibri" w:eastAsia="Calibri" w:hAnsi="Calibri" w:cs="Calibri"/>
          <w:color w:val="000000"/>
          <w:lang w:eastAsia="x-none"/>
        </w:rPr>
        <w:t xml:space="preserve"> and a disability services agency. The business provides an on-site training classroom, business liaison</w:t>
      </w:r>
      <w:r w:rsidR="00884DEA">
        <w:rPr>
          <w:rFonts w:ascii="Calibri" w:eastAsia="Calibri" w:hAnsi="Calibri" w:cs="Calibri"/>
          <w:color w:val="000000"/>
          <w:lang w:eastAsia="x-none"/>
        </w:rPr>
        <w:t>,</w:t>
      </w:r>
      <w:r w:rsidRPr="006C6124">
        <w:rPr>
          <w:rFonts w:ascii="Calibri" w:eastAsia="Calibri" w:hAnsi="Calibri" w:cs="Calibri"/>
          <w:color w:val="000000"/>
          <w:lang w:eastAsia="x-none"/>
        </w:rPr>
        <w:t xml:space="preserve"> and rotational internships for </w:t>
      </w:r>
      <w:r w:rsidR="00884DEA" w:rsidRPr="006C6124">
        <w:rPr>
          <w:rFonts w:ascii="Calibri" w:eastAsia="Calibri" w:hAnsi="Calibri" w:cs="Calibri"/>
          <w:color w:val="000000"/>
          <w:lang w:eastAsia="x-none"/>
        </w:rPr>
        <w:t>on-the-job</w:t>
      </w:r>
      <w:r w:rsidRPr="006C6124">
        <w:rPr>
          <w:rFonts w:ascii="Calibri" w:eastAsia="Calibri" w:hAnsi="Calibri" w:cs="Calibri"/>
          <w:color w:val="000000"/>
          <w:lang w:eastAsia="x-none"/>
        </w:rPr>
        <w:t xml:space="preserve"> training. The school provides an instructor and job skills trainer(s).</w:t>
      </w:r>
    </w:p>
    <w:p w14:paraId="763147DF" w14:textId="77777777" w:rsidR="00012FA2" w:rsidRPr="006C6124" w:rsidRDefault="00012FA2" w:rsidP="00012FA2">
      <w:pPr>
        <w:tabs>
          <w:tab w:val="left" w:pos="900"/>
        </w:tabs>
        <w:spacing w:after="5" w:line="250" w:lineRule="auto"/>
        <w:ind w:left="10" w:right="51" w:hanging="10"/>
        <w:rPr>
          <w:rFonts w:ascii="Calibri" w:eastAsia="Calibri" w:hAnsi="Calibri" w:cs="Calibri"/>
          <w:color w:val="000000"/>
          <w:lang w:eastAsia="x-none"/>
        </w:rPr>
      </w:pPr>
    </w:p>
    <w:p w14:paraId="20C93482" w14:textId="77777777" w:rsidR="00D0706C" w:rsidRPr="006C6124" w:rsidRDefault="00D0706C" w:rsidP="00D0706C">
      <w:pPr>
        <w:tabs>
          <w:tab w:val="left" w:pos="900"/>
        </w:tabs>
        <w:spacing w:after="5" w:line="250" w:lineRule="auto"/>
        <w:ind w:left="10" w:right="51" w:hanging="10"/>
        <w:rPr>
          <w:rFonts w:ascii="Calibri" w:eastAsia="Calibri" w:hAnsi="Calibri" w:cs="Calibri"/>
          <w:color w:val="000000"/>
          <w:lang w:eastAsia="x-none"/>
        </w:rPr>
      </w:pPr>
    </w:p>
    <w:p w14:paraId="61F02356" w14:textId="77777777" w:rsidR="0086338E" w:rsidRPr="006C6124" w:rsidRDefault="00D0706C" w:rsidP="000C1801">
      <w:pPr>
        <w:spacing w:after="60" w:line="250" w:lineRule="auto"/>
        <w:ind w:left="14" w:right="58" w:hanging="14"/>
        <w:rPr>
          <w:rFonts w:ascii="Calibri" w:eastAsia="Calibri" w:hAnsi="Calibri" w:cs="Calibri"/>
          <w:color w:val="000000"/>
          <w:lang w:val="x-none" w:eastAsia="x-none"/>
        </w:rPr>
      </w:pPr>
      <w:r w:rsidRPr="006C6124">
        <w:rPr>
          <w:rFonts w:ascii="Calibri" w:eastAsia="Calibri" w:hAnsi="Calibri" w:cs="Calibri"/>
          <w:b/>
          <w:color w:val="000000"/>
          <w:u w:val="single"/>
        </w:rPr>
        <w:lastRenderedPageBreak/>
        <w:t>(l) Interagency Cooperation with Other Agencies.</w:t>
      </w:r>
      <w:r w:rsidRPr="006C6124">
        <w:rPr>
          <w:rFonts w:ascii="Calibri" w:eastAsia="Calibri" w:hAnsi="Calibri" w:cs="Calibri"/>
          <w:b/>
          <w:color w:val="000000"/>
        </w:rPr>
        <w:t xml:space="preserve"> </w:t>
      </w:r>
      <w:r w:rsidRPr="006C6124">
        <w:rPr>
          <w:rFonts w:ascii="Calibri" w:eastAsia="Calibri" w:hAnsi="Calibri" w:cs="Calibri"/>
          <w:color w:val="000000"/>
        </w:rPr>
        <w:t xml:space="preserve">In accordance with the requirements in section 101(a)(11)(C) and (K), describe interagency cooperation with and utilization of the services and facilities of agencies and programs that are </w:t>
      </w:r>
      <w:r w:rsidRPr="006C6124">
        <w:rPr>
          <w:rFonts w:ascii="Calibri" w:eastAsia="Calibri" w:hAnsi="Calibri" w:cs="Calibri"/>
          <w:b/>
          <w:color w:val="000000"/>
        </w:rPr>
        <w:t xml:space="preserve">not </w:t>
      </w:r>
      <w:r w:rsidRPr="006C6124">
        <w:rPr>
          <w:rFonts w:ascii="Calibri" w:eastAsia="Calibri" w:hAnsi="Calibri" w:cs="Calibri"/>
          <w:color w:val="000000"/>
        </w:rPr>
        <w:t>carrying out activities through the statewide workforce development system</w:t>
      </w:r>
      <w:r w:rsidRPr="006C6124">
        <w:rPr>
          <w:rFonts w:ascii="Calibri" w:eastAsia="Cambria" w:hAnsi="Calibri" w:cs="Calibri"/>
          <w:color w:val="000000"/>
        </w:rPr>
        <w:t xml:space="preserve"> </w:t>
      </w:r>
      <w:r w:rsidRPr="006C6124">
        <w:rPr>
          <w:rFonts w:ascii="Calibri" w:eastAsia="Calibri" w:hAnsi="Calibri" w:cs="Calibri"/>
          <w:color w:val="000000"/>
        </w:rPr>
        <w:t>to develop opportunities for community-based employment in integrated settings, to the greatest extent practicable for the following:</w:t>
      </w:r>
      <w:r w:rsidRPr="006C6124">
        <w:rPr>
          <w:rFonts w:ascii="Calibri" w:eastAsia="Calibri" w:hAnsi="Calibri" w:cs="Calibri"/>
          <w:color w:val="000000"/>
          <w:lang w:val="x-none" w:eastAsia="x-none"/>
        </w:rPr>
        <w:t xml:space="preserve">  </w:t>
      </w:r>
    </w:p>
    <w:p w14:paraId="5488785A" w14:textId="77777777" w:rsidR="00D0706C" w:rsidRPr="006C6124" w:rsidRDefault="00D0706C" w:rsidP="000C1801">
      <w:pPr>
        <w:numPr>
          <w:ilvl w:val="0"/>
          <w:numId w:val="18"/>
        </w:numPr>
        <w:spacing w:before="240"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rPr>
        <w:t>State programs (designate lead agency(</w:t>
      </w:r>
      <w:proofErr w:type="spellStart"/>
      <w:r w:rsidRPr="006C6124">
        <w:rPr>
          <w:rFonts w:ascii="Calibri" w:eastAsia="Calibri" w:hAnsi="Calibri" w:cs="Calibri"/>
          <w:color w:val="000000"/>
        </w:rPr>
        <w:t>ies</w:t>
      </w:r>
      <w:proofErr w:type="spellEnd"/>
      <w:r w:rsidRPr="006C6124">
        <w:rPr>
          <w:rFonts w:ascii="Calibri" w:eastAsia="Calibri" w:hAnsi="Calibri" w:cs="Calibri"/>
          <w:color w:val="000000"/>
        </w:rPr>
        <w:t>) and implementing entity(</w:t>
      </w:r>
      <w:proofErr w:type="spellStart"/>
      <w:r w:rsidRPr="006C6124">
        <w:rPr>
          <w:rFonts w:ascii="Calibri" w:eastAsia="Calibri" w:hAnsi="Calibri" w:cs="Calibri"/>
          <w:color w:val="000000"/>
        </w:rPr>
        <w:t>ies</w:t>
      </w:r>
      <w:proofErr w:type="spellEnd"/>
      <w:r w:rsidRPr="006C6124">
        <w:rPr>
          <w:rFonts w:ascii="Calibri" w:eastAsia="Calibri" w:hAnsi="Calibri" w:cs="Calibri"/>
          <w:color w:val="000000"/>
        </w:rPr>
        <w:t>)) carried out under section 4 of the Assistive Technology Act of 1998;</w:t>
      </w:r>
    </w:p>
    <w:p w14:paraId="0503C622" w14:textId="4CD8C56D" w:rsidR="00D0706C" w:rsidRDefault="006E447D" w:rsidP="00D0706C">
      <w:pPr>
        <w:spacing w:after="5" w:line="250" w:lineRule="auto"/>
        <w:ind w:left="360" w:right="51" w:hanging="10"/>
        <w:contextualSpacing/>
      </w:pPr>
      <w:r>
        <w:t>The Minnesota STAR (System of Technology to Achieve Results) Program, a program within the Minnesota Department of Administration, is funded by the Department of Health and Human Services in accordance with the Assistive Technology Act of 1998, as amended. SSB often refers people to STAR for a device demonstration. This allows c</w:t>
      </w:r>
      <w:r w:rsidR="002E1E10">
        <w:t xml:space="preserve">ustomers </w:t>
      </w:r>
      <w:r>
        <w:t>to compare benefits and features of a particular device</w:t>
      </w:r>
      <w:r w:rsidR="00433DA7">
        <w:t>,</w:t>
      </w:r>
      <w:r>
        <w:t xml:space="preserve"> or category of devices. Once a decision on a device is made, the person can borrow the device for 30 days to make sure it meets their needs before </w:t>
      </w:r>
      <w:r w:rsidR="002E1E10">
        <w:t>SSB</w:t>
      </w:r>
      <w:r>
        <w:t xml:space="preserve"> purchases the item. </w:t>
      </w:r>
      <w:r w:rsidR="002E1E10">
        <w:t>SSB</w:t>
      </w:r>
      <w:r w:rsidR="00613C83">
        <w:t xml:space="preserve"> and VRS</w:t>
      </w:r>
      <w:r>
        <w:t xml:space="preserve"> </w:t>
      </w:r>
      <w:r w:rsidR="00613C83">
        <w:t>has an execute</w:t>
      </w:r>
      <w:r w:rsidR="166905FD">
        <w:t>d</w:t>
      </w:r>
      <w:r w:rsidR="00613C83">
        <w:t xml:space="preserve"> </w:t>
      </w:r>
      <w:r w:rsidR="7A3A8C28">
        <w:t xml:space="preserve">Memorandum </w:t>
      </w:r>
      <w:r w:rsidR="005F5308">
        <w:t>of</w:t>
      </w:r>
      <w:r w:rsidR="7A3A8C28">
        <w:t xml:space="preserve"> Understanding (</w:t>
      </w:r>
      <w:r w:rsidR="00BD7AA3">
        <w:t>MOU</w:t>
      </w:r>
      <w:r w:rsidR="7220CF22">
        <w:t>)</w:t>
      </w:r>
      <w:r>
        <w:t xml:space="preserve"> with STAR to provide assistive technology specialists with commonly used devices for use in doing assessments with c</w:t>
      </w:r>
      <w:r w:rsidR="002E1E10">
        <w:t>ustomers</w:t>
      </w:r>
      <w:r>
        <w:t>.</w:t>
      </w:r>
      <w:r w:rsidR="00160429">
        <w:t xml:space="preserve"> During this next Combined State Plan period, there is a plan to update and refresh the MOU, as it has been some</w:t>
      </w:r>
      <w:r w:rsidR="00613C83">
        <w:t xml:space="preserve"> time since </w:t>
      </w:r>
      <w:r w:rsidR="00E369B3">
        <w:t xml:space="preserve">the last </w:t>
      </w:r>
      <w:r w:rsidR="002B31EB">
        <w:t>version was drafted</w:t>
      </w:r>
      <w:r w:rsidR="00613C83">
        <w:t>.</w:t>
      </w:r>
    </w:p>
    <w:p w14:paraId="177905AC" w14:textId="77777777" w:rsidR="002E1E10" w:rsidRPr="006C6124" w:rsidRDefault="002E1E10" w:rsidP="00D0706C">
      <w:pPr>
        <w:spacing w:after="5" w:line="250" w:lineRule="auto"/>
        <w:ind w:left="360" w:right="51" w:hanging="10"/>
        <w:contextualSpacing/>
        <w:rPr>
          <w:rFonts w:ascii="Calibri" w:eastAsia="Calibri" w:hAnsi="Calibri" w:cs="Calibri"/>
          <w:color w:val="000000"/>
          <w:lang w:val="x-none" w:eastAsia="x-none"/>
        </w:rPr>
      </w:pPr>
    </w:p>
    <w:p w14:paraId="7CD4C391" w14:textId="77777777" w:rsidR="00D0706C" w:rsidRPr="006C6124" w:rsidRDefault="00D0706C" w:rsidP="000C1801">
      <w:pPr>
        <w:numPr>
          <w:ilvl w:val="0"/>
          <w:numId w:val="18"/>
        </w:numPr>
        <w:spacing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lang w:val="x-none" w:eastAsia="x-none"/>
        </w:rPr>
        <w:t xml:space="preserve">Programs carried out by the Under Secretary for Rural Development of the Department of Agriculture; </w:t>
      </w:r>
    </w:p>
    <w:p w14:paraId="2EF9BE1D" w14:textId="3EC53488" w:rsidR="00D0706C" w:rsidRDefault="00047996" w:rsidP="00D0706C">
      <w:pPr>
        <w:spacing w:after="5" w:line="250" w:lineRule="auto"/>
        <w:ind w:left="360" w:right="51" w:hanging="10"/>
        <w:contextualSpacing/>
      </w:pPr>
      <w:r>
        <w:t>There currently is no formalized working relationship between the Department of Agriculture and State Services for the Blind. The Minnesota USDA Rural Development Office does use technical economic and forecasting information provided by DEED to develop and market its services.</w:t>
      </w:r>
    </w:p>
    <w:p w14:paraId="67E7A221" w14:textId="77777777" w:rsidR="00466AD5" w:rsidRPr="006C6124" w:rsidRDefault="00466AD5" w:rsidP="00D0706C">
      <w:pPr>
        <w:spacing w:after="5" w:line="250" w:lineRule="auto"/>
        <w:ind w:left="360" w:right="51" w:hanging="10"/>
        <w:contextualSpacing/>
        <w:rPr>
          <w:rFonts w:ascii="Calibri" w:eastAsia="Calibri" w:hAnsi="Calibri" w:cs="Calibri"/>
          <w:color w:val="000000"/>
          <w:lang w:val="x-none" w:eastAsia="x-none"/>
        </w:rPr>
      </w:pPr>
    </w:p>
    <w:p w14:paraId="3DFF371A" w14:textId="77777777" w:rsidR="00D0706C" w:rsidRPr="006C6124" w:rsidRDefault="00D0706C" w:rsidP="00133341">
      <w:pPr>
        <w:numPr>
          <w:ilvl w:val="0"/>
          <w:numId w:val="18"/>
        </w:numPr>
        <w:spacing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lang w:val="x-none" w:eastAsia="x-none"/>
        </w:rPr>
        <w:t>Non</w:t>
      </w:r>
      <w:r w:rsidRPr="006C6124">
        <w:rPr>
          <w:rFonts w:ascii="Calibri" w:eastAsia="Calibri" w:hAnsi="Calibri" w:cs="Calibri"/>
          <w:color w:val="000000"/>
          <w:lang w:eastAsia="x-none"/>
        </w:rPr>
        <w:t>-</w:t>
      </w:r>
      <w:r w:rsidRPr="006C6124">
        <w:rPr>
          <w:rFonts w:ascii="Calibri" w:eastAsia="Calibri" w:hAnsi="Calibri" w:cs="Calibri"/>
          <w:color w:val="000000"/>
          <w:lang w:val="x-none" w:eastAsia="x-none"/>
        </w:rPr>
        <w:t>educational agencies serving out-of-school youth;</w:t>
      </w:r>
    </w:p>
    <w:p w14:paraId="414B8F67" w14:textId="5DFB4E0F" w:rsidR="00613C83" w:rsidRDefault="00C303FD" w:rsidP="00D0706C">
      <w:pPr>
        <w:spacing w:after="5" w:line="250" w:lineRule="auto"/>
        <w:ind w:left="360" w:right="51" w:hanging="10"/>
        <w:contextualSpacing/>
      </w:pPr>
      <w:r>
        <w:t>SSB does not have any cooperative agreements with agencies serving out-of-school youth.</w:t>
      </w:r>
    </w:p>
    <w:p w14:paraId="4240C230"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p>
    <w:p w14:paraId="2F430208" w14:textId="77777777" w:rsidR="00D0706C" w:rsidRPr="006C6124" w:rsidRDefault="00D0706C" w:rsidP="00133341">
      <w:pPr>
        <w:numPr>
          <w:ilvl w:val="0"/>
          <w:numId w:val="18"/>
        </w:numPr>
        <w:spacing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lang w:val="x-none" w:eastAsia="x-none"/>
        </w:rPr>
        <w:t xml:space="preserve">State use contracting programs; </w:t>
      </w:r>
    </w:p>
    <w:p w14:paraId="15F150CC" w14:textId="6DA62D08" w:rsidR="00D0706C" w:rsidRDefault="006D6EDD" w:rsidP="00F51C5B">
      <w:pPr>
        <w:spacing w:after="5" w:line="250" w:lineRule="auto"/>
        <w:ind w:left="360" w:right="51"/>
      </w:pPr>
      <w:r>
        <w:t>Since the mid-1990s, Minnesota state agencies have been legislatively encouraged to purchase goods and services from small businesses operated by individuals with disabilities. In 2007, the Legislature enacted a set-aside program, providing that 19 percent of the total value of all state janitorial contracts be awarded to community rehabilitation organizations approved by VRS as service providers under the VRS Extended Employment Program. During the 2010 legislative session, the set-aside program was expanded to include document imaging, document shredding, mailing, collating, and sorting services. Further, the amount of each contract awarded under this section may exceed the estimated fair market price for the same goods and services by up to 6 percent.</w:t>
      </w:r>
      <w:r w:rsidR="00955AF7">
        <w:t xml:space="preserve"> SSB has utilized these contracting programs in the past when we transitioned to </w:t>
      </w:r>
      <w:r w:rsidR="00A87DC2">
        <w:t xml:space="preserve">an entirely electronic system and required mass document scanning, collating, and shredding services. </w:t>
      </w:r>
    </w:p>
    <w:p w14:paraId="5C16988B" w14:textId="77777777" w:rsidR="006D6EDD" w:rsidRPr="006C6124" w:rsidRDefault="006D6EDD" w:rsidP="006D6EDD">
      <w:pPr>
        <w:spacing w:after="5" w:line="250" w:lineRule="auto"/>
        <w:ind w:left="180" w:right="51"/>
        <w:rPr>
          <w:rFonts w:ascii="Calibri" w:eastAsia="Calibri" w:hAnsi="Calibri" w:cs="Calibri"/>
          <w:color w:val="000000"/>
          <w:lang w:eastAsia="x-none"/>
        </w:rPr>
      </w:pPr>
    </w:p>
    <w:p w14:paraId="65B55236" w14:textId="77777777" w:rsidR="00D0706C" w:rsidRPr="006C6124" w:rsidRDefault="00D0706C" w:rsidP="007167A5">
      <w:pPr>
        <w:numPr>
          <w:ilvl w:val="0"/>
          <w:numId w:val="18"/>
        </w:numPr>
        <w:spacing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lang w:val="x-none" w:eastAsia="x-none"/>
        </w:rPr>
        <w:t>State agency responsible for administering the State Medicaid plan under title XIX of the Social Security Act (42 U.S.C. 1396 et seq.)</w:t>
      </w:r>
      <w:r w:rsidRPr="006C6124">
        <w:rPr>
          <w:rFonts w:ascii="Calibri" w:eastAsia="Calibri" w:hAnsi="Calibri" w:cs="Calibri"/>
          <w:color w:val="000000"/>
          <w:lang w:eastAsia="x-none"/>
        </w:rPr>
        <w:t>;</w:t>
      </w:r>
    </w:p>
    <w:p w14:paraId="4DB56A60" w14:textId="5725923C" w:rsidR="0003074F" w:rsidRDefault="003D6F46" w:rsidP="00D0706C">
      <w:pPr>
        <w:spacing w:after="5" w:line="250" w:lineRule="auto"/>
        <w:ind w:left="360" w:right="51" w:hanging="10"/>
        <w:contextualSpacing/>
      </w:pPr>
      <w:r>
        <w:t xml:space="preserve">The State Medicaid plan under Title XIX of the Social Security Act; Medical Assistance, the state’s Medicaid program, is administered by the DHS Disability Services Division (DHS-DSD). Vocational Rehabilitation Services (VRS) and State Services for the Blind (SSB) collaborate closely with DHS in the provision of services for individuals who are on home and </w:t>
      </w:r>
      <w:r w:rsidR="008160D0">
        <w:t>community-based</w:t>
      </w:r>
      <w:r>
        <w:t xml:space="preserve"> waivers. In September 2019, DHS-DSD, VRS, and SSB signed a Memorandum of Understanding. The terms of the MOU are specific to individuals on a Medicaid waiver who are interested in competitive, integrated employment. Employment First and Person-Centered principles form the basis of the shared vision for how DEED-VRS/SSB and the Medicaid agency agree to provide employment services for people with disabilities in a coordinated manner. </w:t>
      </w:r>
    </w:p>
    <w:p w14:paraId="06B00F47" w14:textId="77777777" w:rsidR="0003074F" w:rsidRDefault="0003074F" w:rsidP="00D0706C">
      <w:pPr>
        <w:spacing w:after="5" w:line="250" w:lineRule="auto"/>
        <w:ind w:left="360" w:right="51" w:hanging="10"/>
        <w:contextualSpacing/>
      </w:pPr>
    </w:p>
    <w:p w14:paraId="12DF3585" w14:textId="5767E276" w:rsidR="00003B27" w:rsidRDefault="003D6F46" w:rsidP="00D0706C">
      <w:pPr>
        <w:spacing w:after="5" w:line="250" w:lineRule="auto"/>
        <w:ind w:left="360" w:right="51" w:hanging="10"/>
        <w:contextualSpacing/>
      </w:pPr>
      <w:r>
        <w:t>The purpose of the MOU and interagency cooperation is to align systems so that common customers – those who receive home and community-based service disability waivers and vocational rehabilitation services from VRS or SSB – can get seamless and timely supports to make informed choices and meet their competitive</w:t>
      </w:r>
      <w:r w:rsidR="005312DB">
        <w:t>,</w:t>
      </w:r>
      <w:r>
        <w:t xml:space="preserve"> integrated </w:t>
      </w:r>
      <w:r>
        <w:lastRenderedPageBreak/>
        <w:t xml:space="preserve">employment goals. Implementation of the MOU agreements began July 1, 2021. DEED-VRS/SSB and the Medicaid agency developed communication, stakeholder involvement, </w:t>
      </w:r>
      <w:r w:rsidR="0073227C">
        <w:t>training,</w:t>
      </w:r>
      <w:r>
        <w:t xml:space="preserve"> and resources prior to launch to ensure understanding of the responsibilities for each party supporting the person on a Medicaid waiver. Under the MOU, the following coordination of services occurs: </w:t>
      </w:r>
    </w:p>
    <w:p w14:paraId="7738B5CA" w14:textId="77777777" w:rsidR="00003B27" w:rsidRDefault="00003B27" w:rsidP="00D0706C">
      <w:pPr>
        <w:spacing w:after="5" w:line="250" w:lineRule="auto"/>
        <w:ind w:left="360" w:right="51" w:hanging="10"/>
        <w:contextualSpacing/>
      </w:pPr>
    </w:p>
    <w:p w14:paraId="39570127" w14:textId="47679A77" w:rsidR="00C7143B" w:rsidRDefault="003D6F46" w:rsidP="00D0706C">
      <w:pPr>
        <w:spacing w:after="5" w:line="250" w:lineRule="auto"/>
        <w:ind w:left="360" w:right="51" w:hanging="10"/>
        <w:contextualSpacing/>
      </w:pPr>
      <w:r w:rsidRPr="00003B27">
        <w:rPr>
          <w:b/>
        </w:rPr>
        <w:t>Payment of Services</w:t>
      </w:r>
      <w:r>
        <w:t xml:space="preserve"> DEED-VRS/SSB is the primary payer for job-related services (services supporting job development, </w:t>
      </w:r>
      <w:r w:rsidR="00430DC9">
        <w:t>placement,</w:t>
      </w:r>
      <w:r>
        <w:t xml:space="preserve"> and employment stability) for common customers. Once employment stability is established, DHS-DSD will continue to pay for long-term supports to maintain employment for customers of all ages. DHS-DSD will also pay for services that assist people in making informed choices and developing informed employment goals. </w:t>
      </w:r>
    </w:p>
    <w:p w14:paraId="3431755A" w14:textId="77777777" w:rsidR="00C7143B" w:rsidRDefault="00C7143B" w:rsidP="00D0706C">
      <w:pPr>
        <w:spacing w:after="5" w:line="250" w:lineRule="auto"/>
        <w:ind w:left="360" w:right="51" w:hanging="10"/>
        <w:contextualSpacing/>
      </w:pPr>
    </w:p>
    <w:p w14:paraId="6A96B65B" w14:textId="1C1CCE53" w:rsidR="00003B27" w:rsidRDefault="003D6F46" w:rsidP="00D0706C">
      <w:pPr>
        <w:spacing w:after="5" w:line="250" w:lineRule="auto"/>
        <w:ind w:left="360" w:right="51" w:hanging="10"/>
        <w:contextualSpacing/>
      </w:pPr>
      <w:r w:rsidRPr="00C7143B">
        <w:rPr>
          <w:b/>
        </w:rPr>
        <w:t>Interagency Planning and Policy Development</w:t>
      </w:r>
      <w:r>
        <w:t xml:space="preserve"> DHS-DSD and VRS/SSB will use strategic planning, troubleshooting, consultation</w:t>
      </w:r>
      <w:r w:rsidR="00D25D46">
        <w:t>,</w:t>
      </w:r>
      <w:r>
        <w:t xml:space="preserve"> and technical assistance to ensure successful implementation of this agreement. Key areas include goal setting, systems development, coordination of services, quality assurance, </w:t>
      </w:r>
      <w:r w:rsidR="00D25D46">
        <w:t>data</w:t>
      </w:r>
      <w:r w:rsidR="007A4C34">
        <w:t xml:space="preserve"> collection</w:t>
      </w:r>
      <w:r w:rsidR="00D25D46">
        <w:t>,</w:t>
      </w:r>
      <w:r>
        <w:t xml:space="preserve"> and stakeholder involvement. We will:  </w:t>
      </w:r>
    </w:p>
    <w:p w14:paraId="7F516ED4" w14:textId="487E8263"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Meet as an interagency steering committee to provide MOU oversight, set goals, review program services and financing options, identify promising practices</w:t>
      </w:r>
      <w:r w:rsidR="00FB385E">
        <w:t>,</w:t>
      </w:r>
      <w:r>
        <w:t xml:space="preserve"> and resolve disputes</w:t>
      </w:r>
      <w:r w:rsidR="00B05D15">
        <w:t>.</w:t>
      </w:r>
      <w:r>
        <w:t xml:space="preserve"> </w:t>
      </w:r>
    </w:p>
    <w:p w14:paraId="5C35D1BA" w14:textId="759304C5"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Support program liaisons from VRS/SSB and DHS-DSD to coordinate joint efforts in communication, quality assurance, training, and coordination of services, policies</w:t>
      </w:r>
      <w:r w:rsidR="00B05D15">
        <w:t>,</w:t>
      </w:r>
      <w:r>
        <w:t xml:space="preserve"> and procedures</w:t>
      </w:r>
      <w:r w:rsidR="00B05D15">
        <w:t>.</w:t>
      </w:r>
      <w:r>
        <w:t xml:space="preserve">  </w:t>
      </w:r>
    </w:p>
    <w:p w14:paraId="18C5CF76" w14:textId="1823F4C3"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 xml:space="preserve">Create work groups as needed to provide advice and share expertise regarding practice </w:t>
      </w:r>
      <w:r w:rsidR="00B05D15">
        <w:t>enhancements.</w:t>
      </w:r>
      <w:r>
        <w:t xml:space="preserve">  </w:t>
      </w:r>
    </w:p>
    <w:p w14:paraId="4F7C3BD9" w14:textId="36718F91"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 xml:space="preserve">Hold periodic staff meetings across agencies to ensure coordinated communication and address policy </w:t>
      </w:r>
      <w:r w:rsidR="00B05D15">
        <w:t>issues.</w:t>
      </w:r>
      <w:r>
        <w:t xml:space="preserve"> </w:t>
      </w:r>
    </w:p>
    <w:p w14:paraId="63823C03" w14:textId="3D9D8664"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 xml:space="preserve">Establish an advisory committee that includes stakeholders from VRS/SSB, DHS-DSD, lead agency, and providers of both vocational rehabilitation services and waiver services to discuss progress and challenges with the </w:t>
      </w:r>
      <w:r w:rsidR="00B05D15">
        <w:t>MOU.</w:t>
      </w:r>
      <w:r>
        <w:t xml:space="preserve"> </w:t>
      </w:r>
    </w:p>
    <w:p w14:paraId="3ECEC3F0" w14:textId="3CEC3328" w:rsidR="00003B27" w:rsidRPr="00003B27" w:rsidRDefault="00B05D15">
      <w:pPr>
        <w:pStyle w:val="ListParagraph"/>
        <w:numPr>
          <w:ilvl w:val="0"/>
          <w:numId w:val="48"/>
        </w:numPr>
        <w:spacing w:after="5" w:line="250" w:lineRule="auto"/>
        <w:ind w:right="51"/>
        <w:rPr>
          <w:rFonts w:ascii="Calibri" w:eastAsia="Calibri" w:hAnsi="Calibri" w:cs="Calibri"/>
          <w:color w:val="000000"/>
          <w:lang w:val="x-none" w:eastAsia="x-none"/>
        </w:rPr>
      </w:pPr>
      <w:r>
        <w:t>Collaborate</w:t>
      </w:r>
      <w:r w:rsidR="003D6F46">
        <w:t xml:space="preserve"> with stakeholders to collect feedback and identify areas for </w:t>
      </w:r>
      <w:r w:rsidR="008C3BFD">
        <w:t>improvement.</w:t>
      </w:r>
      <w:r w:rsidR="003D6F46">
        <w:t xml:space="preserve"> </w:t>
      </w:r>
    </w:p>
    <w:p w14:paraId="2B23E474" w14:textId="4C734E23"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 xml:space="preserve">Understand employment outcomes in our respective programs and develop a shared understanding of outcome measures and reporting </w:t>
      </w:r>
      <w:r w:rsidR="008C3BFD">
        <w:t>procedures.</w:t>
      </w:r>
      <w:r>
        <w:t xml:space="preserve"> </w:t>
      </w:r>
    </w:p>
    <w:p w14:paraId="559E1B77" w14:textId="7700B830"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Promote the use of evidence-based practices and/or promising approaches to create a more closely aligned employment service system, increase quality</w:t>
      </w:r>
      <w:r w:rsidR="008D0A6F">
        <w:t>,</w:t>
      </w:r>
      <w:r>
        <w:t xml:space="preserve"> and gather shared data on employment outcomes</w:t>
      </w:r>
      <w:r w:rsidR="008D0A6F">
        <w:t>.</w:t>
      </w:r>
      <w:r>
        <w:t xml:space="preserve"> </w:t>
      </w:r>
    </w:p>
    <w:p w14:paraId="1E0D0A03" w14:textId="7E896EED" w:rsidR="00003B27" w:rsidRPr="00003B27" w:rsidRDefault="003D6F46">
      <w:pPr>
        <w:pStyle w:val="ListParagraph"/>
        <w:numPr>
          <w:ilvl w:val="0"/>
          <w:numId w:val="48"/>
        </w:numPr>
        <w:spacing w:after="5" w:line="250" w:lineRule="auto"/>
        <w:ind w:right="51"/>
        <w:rPr>
          <w:rFonts w:ascii="Calibri" w:eastAsia="Calibri" w:hAnsi="Calibri" w:cs="Calibri"/>
          <w:color w:val="000000"/>
          <w:lang w:val="x-none" w:eastAsia="x-none"/>
        </w:rPr>
      </w:pPr>
      <w:r>
        <w:t xml:space="preserve">Identify common customers and practices that support positive employment </w:t>
      </w:r>
      <w:r w:rsidR="00222B4A">
        <w:t>outcomes.</w:t>
      </w:r>
      <w:r>
        <w:t xml:space="preserve"> </w:t>
      </w:r>
    </w:p>
    <w:p w14:paraId="24D1FE46" w14:textId="77777777" w:rsidR="00C7143B" w:rsidRDefault="00C7143B" w:rsidP="00003B27">
      <w:pPr>
        <w:spacing w:after="5" w:line="250" w:lineRule="auto"/>
        <w:ind w:left="720" w:right="51"/>
        <w:rPr>
          <w:b/>
          <w:bCs/>
        </w:rPr>
      </w:pPr>
    </w:p>
    <w:p w14:paraId="735A8E39" w14:textId="77777777" w:rsidR="00523500" w:rsidRDefault="003D6F46" w:rsidP="00966E5F">
      <w:pPr>
        <w:spacing w:after="5" w:line="250" w:lineRule="auto"/>
        <w:ind w:left="360" w:right="51"/>
      </w:pPr>
      <w:r w:rsidRPr="00003B27">
        <w:rPr>
          <w:b/>
        </w:rPr>
        <w:t>Eligibility, Referrals, and Customer Flow</w:t>
      </w:r>
      <w:r>
        <w:t xml:space="preserve"> DEED-VRS/SSB and DHS will continue to implement and refine the processes and practices developed under the Engage, Plan, Find, Keep framework. This includes promoting regional and local collaboration, E1MN training curriculum, and the tools and resources to support this work on the Disability HUB work toolkit. </w:t>
      </w:r>
    </w:p>
    <w:p w14:paraId="0168F3AD" w14:textId="77777777" w:rsidR="00523500" w:rsidRDefault="00523500" w:rsidP="00003B27">
      <w:pPr>
        <w:spacing w:after="5" w:line="250" w:lineRule="auto"/>
        <w:ind w:left="720" w:right="51"/>
      </w:pPr>
    </w:p>
    <w:p w14:paraId="0CBAE134" w14:textId="740F136B" w:rsidR="00003B27" w:rsidRDefault="003D6F46" w:rsidP="00966E5F">
      <w:pPr>
        <w:spacing w:after="5" w:line="250" w:lineRule="auto"/>
        <w:ind w:left="360" w:right="51"/>
      </w:pPr>
      <w:r w:rsidRPr="00523500">
        <w:rPr>
          <w:b/>
        </w:rPr>
        <w:t>Service Provider Networks</w:t>
      </w:r>
      <w:r>
        <w:t xml:space="preserve"> DEED-VRS/SSB and DHS will continue to work together to increase our statewide, shared network of employment service providers to improve access, support seamless transitions, and expand individuals’ choices to high quality employment services. As part of this work, we agree to: </w:t>
      </w:r>
    </w:p>
    <w:p w14:paraId="3459F199" w14:textId="77777777" w:rsidR="00003B27" w:rsidRPr="00003B27" w:rsidRDefault="003D6F46" w:rsidP="00966E5F">
      <w:pPr>
        <w:pStyle w:val="ListParagraph"/>
        <w:numPr>
          <w:ilvl w:val="0"/>
          <w:numId w:val="56"/>
        </w:numPr>
        <w:spacing w:after="5" w:line="250" w:lineRule="auto"/>
        <w:ind w:left="1080" w:right="51"/>
        <w:rPr>
          <w:rFonts w:ascii="Calibri" w:eastAsia="Calibri" w:hAnsi="Calibri" w:cs="Calibri"/>
          <w:color w:val="000000"/>
          <w:lang w:val="x-none" w:eastAsia="x-none"/>
        </w:rPr>
      </w:pPr>
      <w:r>
        <w:t xml:space="preserve">Evaluate strategies for a common employment service provider pool. We will continue to explore options for creating a shared job search service provider pool to support seamless service delivery and prevent unnecessary interruptions as people move between supports funded by VRS/SSB and supports funded by DHS-DSD. </w:t>
      </w:r>
    </w:p>
    <w:p w14:paraId="460A81EE" w14:textId="77777777" w:rsidR="00003B27" w:rsidRPr="00003B27" w:rsidRDefault="003D6F46" w:rsidP="00966E5F">
      <w:pPr>
        <w:pStyle w:val="ListParagraph"/>
        <w:numPr>
          <w:ilvl w:val="0"/>
          <w:numId w:val="56"/>
        </w:numPr>
        <w:spacing w:after="5" w:line="250" w:lineRule="auto"/>
        <w:ind w:left="1080" w:right="51"/>
        <w:rPr>
          <w:rFonts w:ascii="Calibri" w:eastAsia="Calibri" w:hAnsi="Calibri" w:cs="Calibri"/>
          <w:color w:val="000000"/>
          <w:lang w:val="x-none" w:eastAsia="x-none"/>
        </w:rPr>
      </w:pPr>
      <w:r>
        <w:t xml:space="preserve">Encourage dual enrollment of employment service providers. While DHS and DEED will continue to maintain separate employment service provider licensure/accreditation standards, we will make it easier for providers to understand our respective standards and develop strategies to provide ongoing communication and technical assistance to those interested in enrolling. </w:t>
      </w:r>
    </w:p>
    <w:p w14:paraId="1A54F43F" w14:textId="0E71D3E5" w:rsidR="00003B27" w:rsidRPr="00003B27" w:rsidRDefault="003D6F46" w:rsidP="00966E5F">
      <w:pPr>
        <w:pStyle w:val="ListParagraph"/>
        <w:numPr>
          <w:ilvl w:val="0"/>
          <w:numId w:val="56"/>
        </w:numPr>
        <w:spacing w:after="5" w:line="250" w:lineRule="auto"/>
        <w:ind w:left="1080" w:right="51"/>
        <w:rPr>
          <w:rFonts w:ascii="Calibri" w:eastAsia="Calibri" w:hAnsi="Calibri" w:cs="Calibri"/>
          <w:color w:val="000000"/>
          <w:lang w:val="x-none" w:eastAsia="x-none"/>
        </w:rPr>
      </w:pPr>
      <w:r>
        <w:lastRenderedPageBreak/>
        <w:t>Align and streamline process</w:t>
      </w:r>
      <w:r w:rsidR="007B10FB">
        <w:t>es</w:t>
      </w:r>
      <w:r>
        <w:t xml:space="preserve"> and efforts. We will explore opportunities to better align and streamline each agency’s business processes and requirements to create consistency and efficiencies for dually enrolled employment service providers. </w:t>
      </w:r>
    </w:p>
    <w:p w14:paraId="74C1B1E0" w14:textId="77777777" w:rsidR="00003B27" w:rsidRPr="00003B27" w:rsidRDefault="003D6F46" w:rsidP="00966E5F">
      <w:pPr>
        <w:pStyle w:val="ListParagraph"/>
        <w:numPr>
          <w:ilvl w:val="0"/>
          <w:numId w:val="56"/>
        </w:numPr>
        <w:spacing w:after="5" w:line="250" w:lineRule="auto"/>
        <w:ind w:left="1080" w:right="51"/>
        <w:rPr>
          <w:rFonts w:ascii="Calibri" w:eastAsia="Calibri" w:hAnsi="Calibri" w:cs="Calibri"/>
          <w:color w:val="000000"/>
          <w:lang w:val="x-none" w:eastAsia="x-none"/>
        </w:rPr>
      </w:pPr>
      <w:r>
        <w:t xml:space="preserve">Coordinate communications and training. We will coordinate service provider communications and training to maintain consistent messaging and increase understanding of each agency’s respective system and the shared customer flow outlined in this agreement. </w:t>
      </w:r>
    </w:p>
    <w:p w14:paraId="6E66963B" w14:textId="77777777" w:rsidR="00003B27" w:rsidRPr="00003B27" w:rsidRDefault="003D6F46" w:rsidP="00966E5F">
      <w:pPr>
        <w:pStyle w:val="ListParagraph"/>
        <w:numPr>
          <w:ilvl w:val="0"/>
          <w:numId w:val="56"/>
        </w:numPr>
        <w:spacing w:after="5" w:line="250" w:lineRule="auto"/>
        <w:ind w:left="1080" w:right="51"/>
        <w:rPr>
          <w:rFonts w:ascii="Calibri" w:eastAsia="Calibri" w:hAnsi="Calibri" w:cs="Calibri"/>
          <w:color w:val="000000"/>
          <w:lang w:val="x-none" w:eastAsia="x-none"/>
        </w:rPr>
      </w:pPr>
      <w:r>
        <w:t xml:space="preserve">Measure and promote provider performance. We will explore methods to assess and provide information on service provider performance to people with disabilities and their families to support informed selection of service providers. </w:t>
      </w:r>
    </w:p>
    <w:p w14:paraId="77EDE090" w14:textId="3230313C" w:rsidR="00D0706C" w:rsidRPr="006C6124" w:rsidRDefault="003D6F46" w:rsidP="00966E5F">
      <w:pPr>
        <w:pStyle w:val="ListParagraph"/>
        <w:numPr>
          <w:ilvl w:val="0"/>
          <w:numId w:val="56"/>
        </w:numPr>
        <w:spacing w:after="5" w:line="250" w:lineRule="auto"/>
        <w:ind w:left="1080" w:right="51"/>
        <w:rPr>
          <w:rFonts w:ascii="Calibri" w:eastAsia="Calibri" w:hAnsi="Calibri" w:cs="Calibri"/>
          <w:color w:val="000000"/>
          <w:lang w:val="x-none" w:eastAsia="x-none"/>
        </w:rPr>
      </w:pPr>
      <w:r>
        <w:t xml:space="preserve">Develop new providers. We will analyze data, set </w:t>
      </w:r>
      <w:r w:rsidR="00495D3C">
        <w:t>goals,</w:t>
      </w:r>
      <w:r>
        <w:t xml:space="preserve"> and collaborate on the development of employment service providers in underserved populations and areas of the state.</w:t>
      </w:r>
    </w:p>
    <w:p w14:paraId="043CCC11" w14:textId="77777777" w:rsidR="00003B27" w:rsidRPr="00003B27" w:rsidRDefault="00003B27" w:rsidP="00003B27">
      <w:pPr>
        <w:pStyle w:val="ListParagraph"/>
        <w:spacing w:after="5" w:line="250" w:lineRule="auto"/>
        <w:ind w:left="1440" w:right="51"/>
        <w:rPr>
          <w:rFonts w:ascii="Calibri" w:eastAsia="Calibri" w:hAnsi="Calibri" w:cs="Calibri"/>
          <w:color w:val="000000"/>
          <w:lang w:val="x-none" w:eastAsia="x-none"/>
        </w:rPr>
      </w:pPr>
    </w:p>
    <w:p w14:paraId="7BCCFE67" w14:textId="77777777" w:rsidR="00D0706C" w:rsidRPr="006C6124" w:rsidRDefault="00D0706C" w:rsidP="0005752E">
      <w:pPr>
        <w:numPr>
          <w:ilvl w:val="0"/>
          <w:numId w:val="18"/>
        </w:numPr>
        <w:spacing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lang w:val="x-none" w:eastAsia="x-none"/>
        </w:rPr>
        <w:t>State agency responsible for providing services for individuals with developmental disabilities</w:t>
      </w:r>
      <w:r w:rsidRPr="006C6124">
        <w:rPr>
          <w:rFonts w:ascii="Calibri" w:eastAsia="Calibri" w:hAnsi="Calibri" w:cs="Calibri"/>
          <w:color w:val="000000"/>
          <w:lang w:eastAsia="x-none"/>
        </w:rPr>
        <w:t>;</w:t>
      </w:r>
    </w:p>
    <w:p w14:paraId="071EF12D" w14:textId="50DF251A" w:rsidR="006D3D86" w:rsidRDefault="006D3D86" w:rsidP="00EB1FE3">
      <w:pPr>
        <w:spacing w:after="5" w:line="250" w:lineRule="auto"/>
        <w:ind w:left="360" w:right="51"/>
        <w:contextualSpacing/>
      </w:pPr>
      <w:r>
        <w:t xml:space="preserve">The primary Minnesota agency responsible for services for individuals with </w:t>
      </w:r>
      <w:r w:rsidR="00E92DD9">
        <w:t xml:space="preserve">developmental </w:t>
      </w:r>
      <w:r>
        <w:t xml:space="preserve">disabilities is the Department of Human Services (DHS). </w:t>
      </w:r>
    </w:p>
    <w:p w14:paraId="10F5E4F1" w14:textId="77777777" w:rsidR="006D3D86" w:rsidRDefault="006D3D86" w:rsidP="00EB1FE3">
      <w:pPr>
        <w:spacing w:after="5" w:line="250" w:lineRule="auto"/>
        <w:ind w:left="360" w:right="51" w:firstLine="350"/>
        <w:contextualSpacing/>
      </w:pPr>
    </w:p>
    <w:p w14:paraId="2B822D44" w14:textId="77777777" w:rsidR="006D3D86" w:rsidRDefault="006D3D86" w:rsidP="00EB1FE3">
      <w:pPr>
        <w:spacing w:after="5" w:line="250" w:lineRule="auto"/>
        <w:ind w:left="360" w:right="51"/>
        <w:contextualSpacing/>
      </w:pPr>
      <w:r>
        <w:t xml:space="preserve">In Minnesota, the Governor’s Council on Developmental Disabilities serves to advocate for all persons with developmental disabilities by carrying out activities in major areas of emphasis. </w:t>
      </w:r>
    </w:p>
    <w:p w14:paraId="31938966" w14:textId="77777777" w:rsidR="006D3D86" w:rsidRDefault="006D3D86" w:rsidP="00D0706C">
      <w:pPr>
        <w:spacing w:after="5" w:line="250" w:lineRule="auto"/>
        <w:ind w:left="720" w:right="51" w:hanging="10"/>
        <w:contextualSpacing/>
      </w:pPr>
    </w:p>
    <w:p w14:paraId="39137607" w14:textId="3C0F49EB" w:rsidR="00D0706C" w:rsidRDefault="006D3D86" w:rsidP="00EB1FE3">
      <w:pPr>
        <w:spacing w:after="5" w:line="250" w:lineRule="auto"/>
        <w:ind w:left="360" w:right="51"/>
        <w:contextualSpacing/>
      </w:pPr>
      <w:r>
        <w:t>Minnesota’s Olmstead Plan supports freedom of choice and provides a framework and a series of key activities that must be achieved to ensure Minnesotans with disabilities have opportunities to live, learn, work, and enjoy life in the most integrated setting desired by the person. Former Governor Mark Dayton appointed an Olmstead Subcabinet to develop and implement this plan. The Subcabinet consists of representatives of the MnSIC agencies listed above, the Housing Finance Agency, the Department of Transportation, the ombudsman for mental health and developmental disabilities, and the executive director of the Governor’s Council on Developmental Disabilities.</w:t>
      </w:r>
    </w:p>
    <w:p w14:paraId="24ACAD52" w14:textId="77777777" w:rsidR="006D3D86" w:rsidRPr="006C6124" w:rsidRDefault="006D3D86" w:rsidP="00D0706C">
      <w:pPr>
        <w:spacing w:after="5" w:line="250" w:lineRule="auto"/>
        <w:ind w:left="720" w:right="51" w:hanging="10"/>
        <w:contextualSpacing/>
        <w:rPr>
          <w:rFonts w:ascii="Calibri" w:eastAsia="Calibri" w:hAnsi="Calibri" w:cs="Calibri"/>
          <w:color w:val="000000"/>
          <w:lang w:val="x-none" w:eastAsia="x-none"/>
        </w:rPr>
      </w:pPr>
    </w:p>
    <w:p w14:paraId="3AA3C6B5" w14:textId="77777777" w:rsidR="00D0706C" w:rsidRPr="006C6124" w:rsidRDefault="00D0706C" w:rsidP="00EB1FE3">
      <w:pPr>
        <w:numPr>
          <w:ilvl w:val="0"/>
          <w:numId w:val="18"/>
        </w:numPr>
        <w:spacing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lang w:val="x-none" w:eastAsia="x-none"/>
        </w:rPr>
        <w:t xml:space="preserve">State agency responsible for providing </w:t>
      </w:r>
      <w:r w:rsidRPr="006C6124">
        <w:rPr>
          <w:rFonts w:ascii="Calibri" w:eastAsia="Calibri" w:hAnsi="Calibri" w:cs="Calibri"/>
          <w:color w:val="000000"/>
          <w:lang w:eastAsia="x-none"/>
        </w:rPr>
        <w:t xml:space="preserve">mental health </w:t>
      </w:r>
      <w:r w:rsidRPr="006C6124">
        <w:rPr>
          <w:rFonts w:ascii="Calibri" w:eastAsia="Calibri" w:hAnsi="Calibri" w:cs="Calibri"/>
          <w:color w:val="000000"/>
          <w:lang w:val="x-none" w:eastAsia="x-none"/>
        </w:rPr>
        <w:t>services</w:t>
      </w:r>
      <w:r w:rsidRPr="006C6124">
        <w:rPr>
          <w:rFonts w:ascii="Calibri" w:eastAsia="Calibri" w:hAnsi="Calibri" w:cs="Calibri"/>
          <w:color w:val="000000"/>
          <w:lang w:eastAsia="x-none"/>
        </w:rPr>
        <w:t>;</w:t>
      </w:r>
    </w:p>
    <w:p w14:paraId="3A9060DF" w14:textId="035D4646" w:rsidR="00822EC7" w:rsidRDefault="00822EC7" w:rsidP="00EB1FE3">
      <w:pPr>
        <w:spacing w:after="5" w:line="250" w:lineRule="auto"/>
        <w:ind w:left="360" w:right="51"/>
        <w:contextualSpacing/>
      </w:pPr>
      <w:r>
        <w:t>The Minnesota Department of Human Services (DHS) is responsible for coordinating mental health services for adults and youth. Minnesota’s Mental Health system is a state mandated, county operated system. The State Mental Health Authority is responsible for ensuring that Minnesota’s 87 counties, the local mental health authority, provide an array of community mental health services including: basic clinical services, community services and supports, hospitalization and residential treatment. Funding for Minnesota’s mental health system comes from health care insurance, including Medicaid, private insurance</w:t>
      </w:r>
      <w:r w:rsidR="00B160AD">
        <w:t>,</w:t>
      </w:r>
      <w:r>
        <w:t xml:space="preserve"> and MinnesotaCare, as well as county </w:t>
      </w:r>
      <w:r w:rsidR="0094590C">
        <w:t xml:space="preserve">and </w:t>
      </w:r>
      <w:r>
        <w:t>local tax levy funds, state mental health funds</w:t>
      </w:r>
      <w:r w:rsidR="0094590C">
        <w:t>,</w:t>
      </w:r>
      <w:r>
        <w:t xml:space="preserve"> and Federal Block grant funds. Minnesota’s Mental Health and Drug and Alcohol Divisions merged to provide a combined state administration for adult and children’s mental health and alcohol and drug abuse. The emphasis is on moving to integrated care approaches. </w:t>
      </w:r>
    </w:p>
    <w:p w14:paraId="0C638475" w14:textId="77777777" w:rsidR="00822EC7" w:rsidRDefault="00822EC7" w:rsidP="00D0706C">
      <w:pPr>
        <w:spacing w:after="5" w:line="250" w:lineRule="auto"/>
        <w:ind w:left="720" w:right="51" w:hanging="10"/>
        <w:contextualSpacing/>
      </w:pPr>
    </w:p>
    <w:p w14:paraId="0641543D" w14:textId="77777777" w:rsidR="00D0706C" w:rsidRPr="006C6124" w:rsidRDefault="00D0706C" w:rsidP="00EB1FE3">
      <w:pPr>
        <w:numPr>
          <w:ilvl w:val="0"/>
          <w:numId w:val="18"/>
        </w:numPr>
        <w:spacing w:after="60" w:line="250" w:lineRule="auto"/>
        <w:ind w:right="58"/>
        <w:rPr>
          <w:rFonts w:ascii="Calibri" w:eastAsia="Calibri" w:hAnsi="Calibri" w:cs="Calibri"/>
          <w:color w:val="000000"/>
          <w:lang w:val="x-none" w:eastAsia="x-none"/>
        </w:rPr>
      </w:pPr>
      <w:r w:rsidRPr="006C6124">
        <w:rPr>
          <w:rFonts w:ascii="Calibri" w:eastAsia="Calibri" w:hAnsi="Calibri" w:cs="Calibri"/>
          <w:color w:val="000000"/>
          <w:lang w:val="x-none" w:eastAsia="x-none"/>
        </w:rPr>
        <w:t>Other Federal, State, and local agencies and programs outside the workforce development system</w:t>
      </w:r>
      <w:r w:rsidRPr="006C6124">
        <w:rPr>
          <w:rFonts w:ascii="Calibri" w:eastAsia="Calibri" w:hAnsi="Calibri" w:cs="Calibri"/>
          <w:color w:val="000000"/>
          <w:lang w:eastAsia="x-none"/>
        </w:rPr>
        <w:t>; and</w:t>
      </w:r>
    </w:p>
    <w:p w14:paraId="1D540B06" w14:textId="77777777" w:rsidR="003700CD" w:rsidRDefault="003700CD" w:rsidP="00D0706C">
      <w:pPr>
        <w:spacing w:after="5" w:line="250" w:lineRule="auto"/>
        <w:ind w:left="360" w:right="51" w:hanging="10"/>
        <w:contextualSpacing/>
      </w:pPr>
      <w:r>
        <w:t>Following is a discussion of State Services for the Blind’s collaborative arrangements with federal, state and local agencies and with private entities that are not formal components of the statewide workforce investment system.</w:t>
      </w:r>
    </w:p>
    <w:p w14:paraId="68D3BE66" w14:textId="77777777" w:rsidR="00A66BA0" w:rsidRDefault="00A66BA0" w:rsidP="00EB1FE3">
      <w:pPr>
        <w:spacing w:after="5" w:line="250" w:lineRule="auto"/>
        <w:ind w:right="51"/>
        <w:contextualSpacing/>
      </w:pPr>
    </w:p>
    <w:p w14:paraId="742A32F7" w14:textId="0234C127" w:rsidR="009371FB" w:rsidRDefault="003700CD" w:rsidP="00D0706C">
      <w:pPr>
        <w:spacing w:after="5" w:line="250" w:lineRule="auto"/>
        <w:ind w:left="360" w:right="51" w:hanging="10"/>
        <w:contextualSpacing/>
      </w:pPr>
      <w:r w:rsidRPr="00A66BA0">
        <w:rPr>
          <w:b/>
          <w:bCs/>
        </w:rPr>
        <w:t>Olmstead Subcabinet</w:t>
      </w:r>
      <w:r w:rsidR="00B72CFF">
        <w:rPr>
          <w:b/>
          <w:bCs/>
        </w:rPr>
        <w:t xml:space="preserve"> -</w:t>
      </w:r>
      <w:r>
        <w:t xml:space="preserve"> The Department of Employment and Economic Development (DEED) is active on the Governor’s subcabinet to implement the Olmstead Plan that was approved by the U.S. District Court on September 29, 2015. The subcabinet "embraces the Olmstead decision as a key component of achieving a better Minnesota for all Minnesotans and strives to ensure Minnesotans with disabilities will have the opportunity, both now and in the future, to live close to their families and friends, to live more independently, to engage in productive employment and to participate in community life" (2013 vision statement). The employment section of the plan listed two population-level indicators: 1) Increase the employment rate of persons with disabilities so </w:t>
      </w:r>
      <w:r>
        <w:lastRenderedPageBreak/>
        <w:t xml:space="preserve">it is comparable to the employment rate of persons without disabilities and 2) Increase the employment earnings of persons with disabilities so they are comparable to the earnings of persons without disabilities. </w:t>
      </w:r>
    </w:p>
    <w:p w14:paraId="11354E75" w14:textId="77777777" w:rsidR="009371FB" w:rsidRDefault="009371FB" w:rsidP="00D0706C">
      <w:pPr>
        <w:spacing w:after="5" w:line="250" w:lineRule="auto"/>
        <w:ind w:left="360" w:right="51" w:hanging="10"/>
        <w:contextualSpacing/>
      </w:pPr>
    </w:p>
    <w:p w14:paraId="21A19B71" w14:textId="5ACCF00C" w:rsidR="002E0E3E" w:rsidRPr="007E26DB" w:rsidRDefault="002E0E3E" w:rsidP="00D0706C">
      <w:pPr>
        <w:spacing w:after="5" w:line="250" w:lineRule="auto"/>
        <w:ind w:left="360" w:right="51" w:hanging="10"/>
        <w:contextualSpacing/>
      </w:pPr>
      <w:r>
        <w:rPr>
          <w:b/>
          <w:bCs/>
        </w:rPr>
        <w:t>Disability Agency Forum</w:t>
      </w:r>
      <w:r w:rsidR="007E26DB">
        <w:rPr>
          <w:b/>
          <w:bCs/>
        </w:rPr>
        <w:t xml:space="preserve"> </w:t>
      </w:r>
      <w:r w:rsidR="00B72CFF">
        <w:rPr>
          <w:b/>
          <w:bCs/>
        </w:rPr>
        <w:t xml:space="preserve"> -</w:t>
      </w:r>
      <w:r w:rsidR="001150D2">
        <w:rPr>
          <w:b/>
          <w:bCs/>
        </w:rPr>
        <w:t xml:space="preserve"> </w:t>
      </w:r>
      <w:r w:rsidR="007E26DB">
        <w:t xml:space="preserve">SSB is an active member of the Disability Agency Forum, which is a </w:t>
      </w:r>
      <w:r w:rsidR="008A4D4C">
        <w:t>group of small disability organizations throughout Minnesota. Representation includes Commission for Deaf/HOH/DB</w:t>
      </w:r>
      <w:r w:rsidR="003B00A6">
        <w:t xml:space="preserve">, Deaf and Hard of Hearing Services, Minnesota Council on Disability, Governor’s Council on Developmental Disabilities, STAR, </w:t>
      </w:r>
      <w:r w:rsidR="00D62153">
        <w:t xml:space="preserve">Office of Accessible Technology, </w:t>
      </w:r>
      <w:r w:rsidR="00837856">
        <w:t xml:space="preserve">Olmstead Implementation Office, and SSB. </w:t>
      </w:r>
    </w:p>
    <w:p w14:paraId="3209EB11" w14:textId="77777777" w:rsidR="002E0E3E" w:rsidRDefault="002E0E3E" w:rsidP="00D0706C">
      <w:pPr>
        <w:spacing w:after="5" w:line="250" w:lineRule="auto"/>
        <w:ind w:left="360" w:right="51" w:hanging="10"/>
        <w:contextualSpacing/>
        <w:rPr>
          <w:b/>
          <w:bCs/>
        </w:rPr>
      </w:pPr>
    </w:p>
    <w:p w14:paraId="29F25D8D" w14:textId="2BFA5A13" w:rsidR="002E0E3E" w:rsidRPr="00FF4DEB" w:rsidRDefault="002E0E3E" w:rsidP="00D0706C">
      <w:pPr>
        <w:spacing w:after="5" w:line="250" w:lineRule="auto"/>
        <w:ind w:left="360" w:right="51" w:hanging="10"/>
        <w:contextualSpacing/>
      </w:pPr>
      <w:r>
        <w:rPr>
          <w:b/>
          <w:bCs/>
        </w:rPr>
        <w:t xml:space="preserve">Technically </w:t>
      </w:r>
      <w:r w:rsidR="007E26DB">
        <w:rPr>
          <w:b/>
          <w:bCs/>
        </w:rPr>
        <w:t>Accessibility</w:t>
      </w:r>
      <w:r>
        <w:rPr>
          <w:b/>
          <w:bCs/>
        </w:rPr>
        <w:t xml:space="preserve"> Advisory Committee</w:t>
      </w:r>
      <w:r w:rsidR="00FF4DEB">
        <w:rPr>
          <w:b/>
          <w:bCs/>
        </w:rPr>
        <w:t xml:space="preserve"> </w:t>
      </w:r>
      <w:r w:rsidR="006032C4">
        <w:rPr>
          <w:b/>
          <w:bCs/>
        </w:rPr>
        <w:t xml:space="preserve"> -</w:t>
      </w:r>
      <w:r w:rsidR="001150D2">
        <w:rPr>
          <w:b/>
          <w:bCs/>
        </w:rPr>
        <w:t xml:space="preserve"> </w:t>
      </w:r>
      <w:r w:rsidR="00FF4DEB">
        <w:t xml:space="preserve">SSB </w:t>
      </w:r>
      <w:r w:rsidR="004575E6">
        <w:t xml:space="preserve">provides representation on the TAAC, which is a group that </w:t>
      </w:r>
      <w:r w:rsidR="005A4FFE">
        <w:t xml:space="preserve">assists with the accessibility of technology throughout the State of Minnesota. </w:t>
      </w:r>
    </w:p>
    <w:p w14:paraId="6EE89D25" w14:textId="77777777" w:rsidR="002E0E3E" w:rsidRDefault="002E0E3E" w:rsidP="00D0706C">
      <w:pPr>
        <w:spacing w:after="5" w:line="250" w:lineRule="auto"/>
        <w:ind w:left="360" w:right="51" w:hanging="10"/>
        <w:contextualSpacing/>
      </w:pPr>
    </w:p>
    <w:p w14:paraId="319EA79E" w14:textId="2123C201" w:rsidR="002E0E3E" w:rsidRDefault="003700CD" w:rsidP="00D0706C">
      <w:pPr>
        <w:spacing w:after="5" w:line="250" w:lineRule="auto"/>
        <w:ind w:left="360" w:right="51" w:hanging="10"/>
        <w:contextualSpacing/>
      </w:pPr>
      <w:r w:rsidRPr="002E0E3E">
        <w:rPr>
          <w:b/>
          <w:bCs/>
        </w:rPr>
        <w:t>Minnesota Council on Disability</w:t>
      </w:r>
      <w:r w:rsidR="001150D2">
        <w:rPr>
          <w:b/>
          <w:bCs/>
        </w:rPr>
        <w:t xml:space="preserve"> -</w:t>
      </w:r>
      <w:r>
        <w:t xml:space="preserve"> </w:t>
      </w:r>
      <w:r w:rsidR="002E0E3E">
        <w:t>SSB</w:t>
      </w:r>
      <w:r>
        <w:t xml:space="preserve"> provides ex-officio membership to the Minnesota Council on Disability (MCD). MCD’s mission is to serve people with disabilities in Minnesota through development of effective policy, training, technical </w:t>
      </w:r>
      <w:r w:rsidR="001150D2">
        <w:t>resources,</w:t>
      </w:r>
      <w:r>
        <w:t xml:space="preserve"> and collaborations with public and private stakeholders. Their vision is “a barrier-free Minnesota where every person with a disability has full access to all aspects of life.” </w:t>
      </w:r>
    </w:p>
    <w:p w14:paraId="210BED77" w14:textId="77777777" w:rsidR="006E4454" w:rsidRDefault="006E4454" w:rsidP="00D0706C">
      <w:pPr>
        <w:spacing w:after="5" w:line="250" w:lineRule="auto"/>
        <w:ind w:left="360" w:right="51" w:hanging="10"/>
        <w:contextualSpacing/>
      </w:pPr>
    </w:p>
    <w:p w14:paraId="4264FF78" w14:textId="24A12CE8" w:rsidR="006E4454" w:rsidRPr="006E4454" w:rsidRDefault="006E4454" w:rsidP="00D0706C">
      <w:pPr>
        <w:spacing w:after="5" w:line="250" w:lineRule="auto"/>
        <w:ind w:left="360" w:right="51" w:hanging="10"/>
        <w:contextualSpacing/>
      </w:pPr>
      <w:r>
        <w:rPr>
          <w:b/>
          <w:bCs/>
        </w:rPr>
        <w:t>Statewide Independent Living Council</w:t>
      </w:r>
      <w:r w:rsidR="008D6D27">
        <w:rPr>
          <w:b/>
          <w:bCs/>
        </w:rPr>
        <w:t xml:space="preserve"> - </w:t>
      </w:r>
      <w:r>
        <w:t>SSB is a</w:t>
      </w:r>
      <w:r w:rsidR="00B85D4B">
        <w:t>n ex-officio</w:t>
      </w:r>
      <w:r>
        <w:t xml:space="preserve"> member of the SILC. </w:t>
      </w:r>
      <w:r w:rsidR="005E5348" w:rsidRPr="005E5348">
        <w:t>The Minnesota Statewide Independent Living Council (MNSILC) provides statewide planning and policies necessary to provide independent living services to people with disabilities.</w:t>
      </w:r>
    </w:p>
    <w:p w14:paraId="1283685F" w14:textId="77777777" w:rsidR="002E0E3E" w:rsidRDefault="002E0E3E" w:rsidP="00D0706C">
      <w:pPr>
        <w:spacing w:after="5" w:line="250" w:lineRule="auto"/>
        <w:ind w:left="360" w:right="51" w:hanging="10"/>
        <w:contextualSpacing/>
      </w:pPr>
    </w:p>
    <w:p w14:paraId="1D18A99D" w14:textId="7E6FFBCB" w:rsidR="000E4853" w:rsidRDefault="003700CD" w:rsidP="00D0706C">
      <w:pPr>
        <w:spacing w:after="5" w:line="250" w:lineRule="auto"/>
        <w:ind w:left="360" w:right="51" w:hanging="10"/>
        <w:contextualSpacing/>
      </w:pPr>
      <w:r w:rsidRPr="002E0E3E">
        <w:rPr>
          <w:b/>
          <w:bCs/>
        </w:rPr>
        <w:t>Cooperative agreements with the White Earth Nation Tribal VR program and the Red Lake Nation Tribal VR program</w:t>
      </w:r>
      <w:r>
        <w:t xml:space="preserve"> </w:t>
      </w:r>
      <w:r w:rsidR="00FC5B46">
        <w:t xml:space="preserve"> - </w:t>
      </w:r>
      <w:r>
        <w:t xml:space="preserve">VRS and </w:t>
      </w:r>
      <w:r w:rsidR="002E0E3E">
        <w:t xml:space="preserve">SSB </w:t>
      </w:r>
      <w:r>
        <w:t xml:space="preserve">provide information, technical assistance, training opportunities, and support to the state’s two tribal VR programs. A formal process is in place for referral and transfer of cases in accordance with best practices ensuring choice. Although not a part of the formal written agreement, the Social Security Administration’s Area Work Incentive Coordinator plays a crucial role in providing technical assistance on benefits planning. </w:t>
      </w:r>
    </w:p>
    <w:p w14:paraId="26D46F0D" w14:textId="77777777" w:rsidR="000E4853" w:rsidRDefault="000E4853" w:rsidP="00846AF3">
      <w:pPr>
        <w:spacing w:after="5" w:line="250" w:lineRule="auto"/>
        <w:ind w:right="51"/>
        <w:contextualSpacing/>
      </w:pPr>
    </w:p>
    <w:p w14:paraId="7587C7D7" w14:textId="196B771D" w:rsidR="000E4853" w:rsidRDefault="003700CD" w:rsidP="00D0706C">
      <w:pPr>
        <w:spacing w:after="5" w:line="250" w:lineRule="auto"/>
        <w:ind w:left="360" w:right="51" w:hanging="10"/>
        <w:contextualSpacing/>
      </w:pPr>
      <w:r w:rsidRPr="000E4853">
        <w:rPr>
          <w:b/>
          <w:bCs/>
        </w:rPr>
        <w:t xml:space="preserve">Professional Vocational Rehabilitation </w:t>
      </w:r>
      <w:r w:rsidR="000E4853">
        <w:rPr>
          <w:b/>
          <w:bCs/>
        </w:rPr>
        <w:t>C</w:t>
      </w:r>
      <w:r w:rsidRPr="000E4853">
        <w:rPr>
          <w:b/>
          <w:bCs/>
        </w:rPr>
        <w:t xml:space="preserve">ounseling </w:t>
      </w:r>
      <w:r w:rsidR="000E4853">
        <w:rPr>
          <w:b/>
          <w:bCs/>
        </w:rPr>
        <w:t>O</w:t>
      </w:r>
      <w:r w:rsidRPr="000E4853">
        <w:rPr>
          <w:b/>
          <w:bCs/>
        </w:rPr>
        <w:t>rganizations</w:t>
      </w:r>
      <w:r w:rsidR="004B3695">
        <w:rPr>
          <w:b/>
          <w:bCs/>
        </w:rPr>
        <w:t xml:space="preserve"> - </w:t>
      </w:r>
      <w:r>
        <w:t xml:space="preserve"> Active participation relating to ongoing professional development for staff and to counselor recruitment takes place through well-established working relationships with</w:t>
      </w:r>
      <w:r w:rsidR="00D4024F">
        <w:t>,</w:t>
      </w:r>
      <w:r>
        <w:t xml:space="preserve"> and memberships on</w:t>
      </w:r>
      <w:r w:rsidR="00D4024F">
        <w:t>,</w:t>
      </w:r>
      <w:r>
        <w:t xml:space="preserve"> the boards of the Minnesota Rehabilitation Association, including the Minnesota Rehabilitation Counseling Association chapter. </w:t>
      </w:r>
    </w:p>
    <w:p w14:paraId="2E2E6D1A" w14:textId="77777777" w:rsidR="00D0706C" w:rsidRDefault="00D0706C" w:rsidP="00D0706C">
      <w:pPr>
        <w:spacing w:after="5" w:line="250" w:lineRule="auto"/>
        <w:ind w:left="360" w:right="51" w:hanging="10"/>
        <w:contextualSpacing/>
      </w:pPr>
    </w:p>
    <w:p w14:paraId="4E7056E1" w14:textId="77777777" w:rsidR="00D0706C" w:rsidRPr="006C6124" w:rsidRDefault="00D0706C" w:rsidP="00846AF3">
      <w:pPr>
        <w:numPr>
          <w:ilvl w:val="0"/>
          <w:numId w:val="35"/>
        </w:numPr>
        <w:spacing w:after="60" w:line="250" w:lineRule="auto"/>
        <w:ind w:left="360" w:right="58"/>
        <w:rPr>
          <w:rFonts w:ascii="Calibri" w:eastAsia="Calibri" w:hAnsi="Calibri" w:cs="Calibri"/>
          <w:lang w:eastAsia="x-none"/>
        </w:rPr>
      </w:pPr>
      <w:r w:rsidRPr="006C6124">
        <w:rPr>
          <w:rFonts w:ascii="Calibri" w:eastAsia="Calibri" w:hAnsi="Calibri" w:cs="Calibri"/>
          <w:lang w:eastAsia="x-none"/>
        </w:rPr>
        <w:t>Other private nonprofit organizations.</w:t>
      </w:r>
    </w:p>
    <w:p w14:paraId="1586059F" w14:textId="691A9D21" w:rsidR="00733819" w:rsidRDefault="002A163C" w:rsidP="001D1769">
      <w:pPr>
        <w:spacing w:after="160" w:line="259" w:lineRule="auto"/>
        <w:ind w:left="360"/>
      </w:pPr>
      <w:r>
        <w:t xml:space="preserve">SSB holds master contracts with three </w:t>
      </w:r>
      <w:r w:rsidR="004B4ADF">
        <w:t>full-time</w:t>
      </w:r>
      <w:r>
        <w:t xml:space="preserve"> Community Rehabilitation Providers (CRPs)</w:t>
      </w:r>
      <w:r w:rsidR="006B0588">
        <w:t xml:space="preserve"> that are considered private</w:t>
      </w:r>
      <w:r w:rsidR="00A71909">
        <w:t>,</w:t>
      </w:r>
      <w:r w:rsidR="006B0588">
        <w:t xml:space="preserve"> nonprofit organizations. </w:t>
      </w:r>
      <w:r w:rsidR="007F7EDD">
        <w:t>As of January 2024, o</w:t>
      </w:r>
      <w:r w:rsidR="00CF115B">
        <w:t>ne of those CRPs</w:t>
      </w:r>
      <w:r w:rsidR="007F7EDD">
        <w:t xml:space="preserve"> closed their doors</w:t>
      </w:r>
      <w:r w:rsidR="00574124">
        <w:t xml:space="preserve"> for an undetermined time</w:t>
      </w:r>
      <w:r w:rsidR="00B92A14">
        <w:t xml:space="preserve"> </w:t>
      </w:r>
      <w:r w:rsidR="004148BB">
        <w:t xml:space="preserve">for </w:t>
      </w:r>
      <w:r w:rsidR="00446166">
        <w:t>program restructuring</w:t>
      </w:r>
      <w:r w:rsidR="002D1B98">
        <w:t xml:space="preserve">. </w:t>
      </w:r>
      <w:r w:rsidR="006B0588">
        <w:t>These contracts</w:t>
      </w:r>
      <w:r>
        <w:t xml:space="preserve"> focus on providing adjustment to blindness training and employment related services, as well as other services to blind, visually impaired, and DeafBlind customers.</w:t>
      </w:r>
      <w:r w:rsidR="006B0588">
        <w:t xml:space="preserve"> </w:t>
      </w:r>
      <w:r>
        <w:t xml:space="preserve">SSB discusses with providers during the development of master contracts the scope of services, </w:t>
      </w:r>
      <w:r w:rsidR="00B15A63">
        <w:t>programs,</w:t>
      </w:r>
      <w:r>
        <w:t xml:space="preserve"> and rates.</w:t>
      </w:r>
    </w:p>
    <w:p w14:paraId="3E895571" w14:textId="781F4B2D" w:rsidR="00733819" w:rsidRDefault="002A163C" w:rsidP="001D1769">
      <w:pPr>
        <w:spacing w:after="160" w:line="259" w:lineRule="auto"/>
        <w:ind w:left="360"/>
      </w:pPr>
      <w:r>
        <w:t xml:space="preserve">As required by statute, SSB contracts with CRPs to provide the minimum of six weeks intensive training under sleep shades from an adjustment to blindness center for </w:t>
      </w:r>
      <w:r w:rsidR="00733819">
        <w:t>r</w:t>
      </w:r>
      <w:r>
        <w:t xml:space="preserve">ehabilitation </w:t>
      </w:r>
      <w:r w:rsidR="00733819">
        <w:t>c</w:t>
      </w:r>
      <w:r>
        <w:t xml:space="preserve">ounselors. </w:t>
      </w:r>
      <w:r w:rsidR="00401B7E">
        <w:t xml:space="preserve">As of </w:t>
      </w:r>
      <w:r w:rsidR="00D25D79">
        <w:t xml:space="preserve">mid-2023, all three CRPs in the Minnesota are able to provide this training. </w:t>
      </w:r>
      <w:r>
        <w:t>Contracts have also been developed with CRPs to provide transition programs to students. Services are meant to augment work done by school districts with activities on evenings and weekends.</w:t>
      </w:r>
    </w:p>
    <w:p w14:paraId="53C28FB3" w14:textId="22EEC343" w:rsidR="00252679" w:rsidRDefault="002A163C" w:rsidP="001D1769">
      <w:pPr>
        <w:spacing w:after="160" w:line="259" w:lineRule="auto"/>
        <w:ind w:left="360"/>
      </w:pPr>
      <w:r>
        <w:t xml:space="preserve">Additionally, SSB </w:t>
      </w:r>
      <w:r w:rsidR="00E74DE1">
        <w:t>continues to implement our</w:t>
      </w:r>
      <w:r>
        <w:t xml:space="preserve"> “Community Partner </w:t>
      </w:r>
      <w:r w:rsidR="00AC463F">
        <w:t xml:space="preserve">+ SSB Staff </w:t>
      </w:r>
      <w:r>
        <w:t xml:space="preserve">Forums” </w:t>
      </w:r>
      <w:r w:rsidR="00733819">
        <w:t>four times</w:t>
      </w:r>
      <w:r>
        <w:t xml:space="preserve"> per year as an opportunity to provide updates about agency happenings, discuss trends in findings from monitoring visits</w:t>
      </w:r>
      <w:r w:rsidR="006C3B4A">
        <w:t>,</w:t>
      </w:r>
      <w:r>
        <w:t xml:space="preserve"> and provide training on pertinent topics such as data practices, navigating the state system for job placement</w:t>
      </w:r>
      <w:r w:rsidR="0069029B">
        <w:t>,</w:t>
      </w:r>
      <w:r>
        <w:t xml:space="preserve"> and Customized Employment.</w:t>
      </w:r>
    </w:p>
    <w:p w14:paraId="17DD090E" w14:textId="48CBFECA" w:rsidR="00D0706C" w:rsidRPr="006C6124" w:rsidRDefault="00D0706C" w:rsidP="00D0706C">
      <w:pPr>
        <w:spacing w:after="160" w:line="259" w:lineRule="auto"/>
        <w:rPr>
          <w:rFonts w:ascii="Calibri" w:eastAsia="Calibri" w:hAnsi="Calibri" w:cs="Calibri"/>
          <w:color w:val="000000"/>
          <w:lang w:eastAsia="x-none"/>
        </w:rPr>
      </w:pPr>
      <w:r w:rsidRPr="006C6124">
        <w:rPr>
          <w:rFonts w:ascii="Calibri" w:eastAsia="Calibri" w:hAnsi="Calibri" w:cs="Calibri"/>
          <w:color w:val="000000"/>
          <w:lang w:eastAsia="x-none"/>
        </w:rPr>
        <w:br w:type="page"/>
      </w:r>
    </w:p>
    <w:p w14:paraId="15B12918" w14:textId="77777777" w:rsidR="00D0706C" w:rsidRPr="006C6124" w:rsidRDefault="00D0706C" w:rsidP="00D0706C">
      <w:pPr>
        <w:spacing w:after="5" w:line="250" w:lineRule="auto"/>
        <w:ind w:left="360" w:right="51" w:hanging="10"/>
        <w:contextualSpacing/>
        <w:rPr>
          <w:rFonts w:ascii="Calibri" w:eastAsia="Calibri" w:hAnsi="Calibri" w:cs="Calibri"/>
          <w:color w:val="000000"/>
          <w:lang w:eastAsia="x-none"/>
        </w:rPr>
      </w:pPr>
    </w:p>
    <w:p w14:paraId="48822A60"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b/>
          <w:color w:val="000000"/>
        </w:rPr>
        <w:t>VOCATIONAL REHABILITATION CERTIFICATIONS AND ASSURANCES</w:t>
      </w:r>
    </w:p>
    <w:p w14:paraId="44A0889B" w14:textId="77777777" w:rsidR="00D0706C" w:rsidRPr="006C6124" w:rsidRDefault="00D0706C" w:rsidP="00D0706C">
      <w:pPr>
        <w:spacing w:after="5" w:line="250" w:lineRule="auto"/>
        <w:ind w:left="10" w:right="51" w:hanging="10"/>
        <w:rPr>
          <w:rFonts w:ascii="Calibri" w:eastAsia="Calibri" w:hAnsi="Calibri" w:cs="Calibri"/>
          <w:b/>
          <w:color w:val="000000"/>
        </w:rPr>
      </w:pPr>
      <w:r w:rsidRPr="006C6124">
        <w:rPr>
          <w:rFonts w:ascii="Calibri" w:eastAsia="Calibri" w:hAnsi="Calibri" w:cs="Calibri"/>
          <w:b/>
          <w:color w:val="000000"/>
        </w:rPr>
        <w:t xml:space="preserve">     </w:t>
      </w:r>
    </w:p>
    <w:p w14:paraId="5DA57314" w14:textId="77777777" w:rsidR="00D0706C" w:rsidRPr="006C6124" w:rsidRDefault="00D0706C" w:rsidP="00D0706C">
      <w:pPr>
        <w:spacing w:after="5" w:line="250" w:lineRule="auto"/>
        <w:ind w:left="10" w:right="51" w:hanging="10"/>
        <w:rPr>
          <w:rFonts w:ascii="Calibri" w:eastAsia="Calibri" w:hAnsi="Calibri" w:cs="Calibri"/>
          <w:b/>
          <w:color w:val="000000"/>
        </w:rPr>
      </w:pPr>
      <w:r w:rsidRPr="006C6124">
        <w:rPr>
          <w:rFonts w:ascii="Calibri" w:eastAsia="Calibri" w:hAnsi="Calibri" w:cs="Calibri"/>
          <w:b/>
          <w:color w:val="000000"/>
        </w:rPr>
        <w:t>CERTIFICATIONS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20"/>
      </w:tblGrid>
      <w:tr w:rsidR="00D0706C" w:rsidRPr="006C6124" w14:paraId="487D07F0" w14:textId="77777777">
        <w:trPr>
          <w:tblHeader/>
        </w:trPr>
        <w:tc>
          <w:tcPr>
            <w:tcW w:w="9270" w:type="dxa"/>
            <w:gridSpan w:val="2"/>
            <w:shd w:val="clear" w:color="auto" w:fill="auto"/>
          </w:tcPr>
          <w:p w14:paraId="2F3CBF20" w14:textId="77777777" w:rsidR="00D0706C" w:rsidRPr="006C6124" w:rsidRDefault="00D0706C" w:rsidP="00D0706C">
            <w:pPr>
              <w:spacing w:after="5" w:line="250" w:lineRule="auto"/>
              <w:ind w:left="10" w:right="51" w:hanging="10"/>
              <w:contextualSpacing/>
              <w:rPr>
                <w:rFonts w:ascii="Calibri" w:eastAsia="Calibri" w:hAnsi="Calibri" w:cs="Calibri"/>
                <w:b/>
                <w:color w:val="000000"/>
              </w:rPr>
            </w:pPr>
            <w:r w:rsidRPr="006C6124">
              <w:rPr>
                <w:rFonts w:ascii="Calibri" w:eastAsia="Calibri" w:hAnsi="Calibri" w:cs="Calibri"/>
                <w:b/>
                <w:color w:val="000000"/>
              </w:rPr>
              <w:t>States must provide written and signed certifications that:</w:t>
            </w:r>
          </w:p>
        </w:tc>
      </w:tr>
      <w:tr w:rsidR="00D0706C" w:rsidRPr="006C6124" w14:paraId="663A2CA7" w14:textId="77777777">
        <w:tc>
          <w:tcPr>
            <w:tcW w:w="450" w:type="dxa"/>
            <w:shd w:val="clear" w:color="auto" w:fill="auto"/>
          </w:tcPr>
          <w:p w14:paraId="7FA66FCE"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1.</w:t>
            </w:r>
          </w:p>
        </w:tc>
        <w:tc>
          <w:tcPr>
            <w:tcW w:w="8820" w:type="dxa"/>
            <w:shd w:val="clear" w:color="auto" w:fill="auto"/>
          </w:tcPr>
          <w:p w14:paraId="2F1C2813" w14:textId="411057A4"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libri" w:hAnsi="Calibri" w:cs="Calibri"/>
                <w:color w:val="000000"/>
              </w:rPr>
              <w:t xml:space="preserve">The </w:t>
            </w:r>
            <w:r w:rsidR="005E04D4">
              <w:rPr>
                <w:rFonts w:ascii="Calibri" w:eastAsia="Calibri" w:hAnsi="Calibri" w:cs="Calibri"/>
                <w:color w:val="000000"/>
              </w:rPr>
              <w:t>Department of Employment</w:t>
            </w:r>
            <w:r w:rsidR="00066708">
              <w:rPr>
                <w:rFonts w:ascii="Calibri" w:eastAsia="Calibri" w:hAnsi="Calibri" w:cs="Calibri"/>
                <w:color w:val="000000"/>
              </w:rPr>
              <w:t xml:space="preserve"> and Economic Development</w:t>
            </w:r>
            <w:r w:rsidRPr="006C6124">
              <w:rPr>
                <w:rFonts w:ascii="Calibri" w:eastAsia="Calibri" w:hAnsi="Calibri" w:cs="Calibri"/>
                <w:color w:val="000000"/>
              </w:rPr>
              <w:t xml:space="preserve"> is authorized to submit the VR services portion of the Unified or Combined State Plan under title I of the Rehabilitation Act of 1973 (Rehabilitation Act), as amended by title IV of WIOA,</w:t>
            </w:r>
            <w:r w:rsidRPr="006C6124">
              <w:rPr>
                <w:rFonts w:ascii="Calibri" w:eastAsia="Calibri" w:hAnsi="Calibri" w:cs="Calibri"/>
                <w:color w:val="000000"/>
                <w:vertAlign w:val="superscript"/>
              </w:rPr>
              <w:footnoteReference w:id="2"/>
            </w:r>
            <w:r w:rsidRPr="006C6124">
              <w:rPr>
                <w:rFonts w:ascii="Calibri" w:eastAsia="Calibri" w:hAnsi="Calibri" w:cs="Calibri"/>
                <w:color w:val="000000"/>
              </w:rPr>
              <w:t xml:space="preserve"> and its State Plan supplement under title VI of the Rehabilitation Act;</w:t>
            </w:r>
          </w:p>
        </w:tc>
      </w:tr>
      <w:tr w:rsidR="00D0706C" w:rsidRPr="006C6124" w14:paraId="39C3EB31" w14:textId="77777777">
        <w:tc>
          <w:tcPr>
            <w:tcW w:w="450" w:type="dxa"/>
            <w:shd w:val="clear" w:color="auto" w:fill="auto"/>
          </w:tcPr>
          <w:p w14:paraId="60CFF502"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24F72E9C" w14:textId="1BAC7ACF" w:rsidR="00D0706C" w:rsidRPr="006C6124" w:rsidRDefault="00D0706C" w:rsidP="00D0706C">
            <w:pPr>
              <w:spacing w:after="5"/>
              <w:ind w:left="10" w:right="51" w:hanging="10"/>
              <w:contextualSpacing/>
              <w:rPr>
                <w:rFonts w:ascii="Calibri" w:eastAsia="Calibri" w:hAnsi="Calibri" w:cs="Calibri"/>
                <w:color w:val="000000"/>
              </w:rPr>
            </w:pPr>
          </w:p>
        </w:tc>
      </w:tr>
      <w:tr w:rsidR="00D0706C" w:rsidRPr="006C6124" w14:paraId="00B607C4" w14:textId="77777777">
        <w:tc>
          <w:tcPr>
            <w:tcW w:w="450" w:type="dxa"/>
            <w:shd w:val="clear" w:color="auto" w:fill="auto"/>
          </w:tcPr>
          <w:p w14:paraId="2C228C72"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2.</w:t>
            </w:r>
          </w:p>
        </w:tc>
        <w:tc>
          <w:tcPr>
            <w:tcW w:w="8820" w:type="dxa"/>
            <w:shd w:val="clear" w:color="auto" w:fill="auto"/>
          </w:tcPr>
          <w:p w14:paraId="4472BC7E" w14:textId="77777777"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mbria" w:hAnsi="Calibri" w:cs="Calibri"/>
              </w:rPr>
              <w:t xml:space="preserve">In the event the designated State agency is not primarily concerned with vocational and other rehabilitation of individuals with disabilities, the designated State agency must include a designated State unit for the VR program (Section 101(a)(2)(B)(ii) of the Rehabilitation Act). </w:t>
            </w:r>
            <w:r w:rsidRPr="006C6124">
              <w:rPr>
                <w:rFonts w:ascii="Calibri" w:eastAsia="Calibri" w:hAnsi="Calibri" w:cs="Calibri"/>
                <w:color w:val="000000"/>
              </w:rPr>
              <w:t>As a condition for the receipt of Federal funds under title I of the Rehabilitation Act for the provision of VR services, the (enter the name of designated State agency or the designated State unit when the designated State agency has a designated State unit)</w:t>
            </w:r>
            <w:r w:rsidRPr="006C6124">
              <w:rPr>
                <w:rFonts w:ascii="Calibri" w:eastAsia="Calibri" w:hAnsi="Calibri" w:cs="Calibri"/>
                <w:color w:val="000000"/>
                <w:vertAlign w:val="superscript"/>
              </w:rPr>
              <w:footnoteReference w:id="3"/>
            </w:r>
            <w:r w:rsidRPr="006C6124">
              <w:rPr>
                <w:rFonts w:ascii="Calibri" w:eastAsia="Calibri" w:hAnsi="Calibri" w:cs="Calibri"/>
                <w:color w:val="000000"/>
              </w:rPr>
              <w:t xml:space="preserve"> agrees to operate and </w:t>
            </w:r>
            <w:r w:rsidRPr="006C6124">
              <w:rPr>
                <w:rFonts w:ascii="Calibri" w:eastAsia="Calibri" w:hAnsi="Calibri" w:cs="Calibri"/>
              </w:rPr>
              <w:t>is</w:t>
            </w:r>
            <w:r w:rsidRPr="006C6124">
              <w:rPr>
                <w:rFonts w:ascii="Calibri" w:eastAsia="Cambria" w:hAnsi="Calibri" w:cs="Calibri"/>
              </w:rPr>
              <w:t xml:space="preserve"> responsible for the administration of</w:t>
            </w:r>
            <w:r w:rsidRPr="006C6124">
              <w:rPr>
                <w:rFonts w:ascii="Calibri" w:eastAsia="Calibri" w:hAnsi="Calibri" w:cs="Calibri"/>
              </w:rPr>
              <w:t xml:space="preserve"> the State VR Services Program in </w:t>
            </w:r>
            <w:r w:rsidRPr="006C6124">
              <w:rPr>
                <w:rFonts w:ascii="Calibri" w:eastAsia="Calibri" w:hAnsi="Calibri" w:cs="Calibri"/>
                <w:color w:val="000000"/>
              </w:rPr>
              <w:t>accordance with the VR services portion of the Unified or Combined State Plan</w:t>
            </w:r>
            <w:r w:rsidRPr="006C6124">
              <w:rPr>
                <w:rFonts w:ascii="Calibri" w:eastAsia="Calibri" w:hAnsi="Calibri" w:cs="Calibri"/>
                <w:color w:val="000000"/>
                <w:vertAlign w:val="superscript"/>
              </w:rPr>
              <w:footnoteReference w:id="4"/>
            </w:r>
            <w:r w:rsidRPr="006C6124">
              <w:rPr>
                <w:rFonts w:ascii="Calibri" w:eastAsia="Calibri" w:hAnsi="Calibri" w:cs="Calibri"/>
                <w:color w:val="000000"/>
              </w:rPr>
              <w:t>, the Rehabilitation Act, 34 CFR 361.13(b) and (c), and all applicable regulations</w:t>
            </w:r>
            <w:r w:rsidRPr="006C6124">
              <w:rPr>
                <w:rFonts w:ascii="Calibri" w:eastAsia="Calibri" w:hAnsi="Calibri" w:cs="Calibri"/>
                <w:color w:val="000000"/>
                <w:vertAlign w:val="superscript"/>
              </w:rPr>
              <w:footnoteReference w:id="5"/>
            </w:r>
            <w:r w:rsidRPr="006C6124">
              <w:rPr>
                <w:rFonts w:ascii="Calibri" w:eastAsia="Calibri" w:hAnsi="Calibri" w:cs="Calibri"/>
                <w:color w:val="000000"/>
              </w:rPr>
              <w:t>, policies, and procedures established by the Secretary of Education. Funds made available to States under section 111(a) of the Rehabilitation Act are used solely for the provision of VR services and the administration of the VR services portion of the Unified or Combined State Plan;</w:t>
            </w:r>
          </w:p>
        </w:tc>
      </w:tr>
      <w:tr w:rsidR="00D0706C" w:rsidRPr="006C6124" w14:paraId="38ADB589" w14:textId="77777777">
        <w:trPr>
          <w:trHeight w:val="296"/>
        </w:trPr>
        <w:tc>
          <w:tcPr>
            <w:tcW w:w="450" w:type="dxa"/>
            <w:shd w:val="clear" w:color="auto" w:fill="auto"/>
          </w:tcPr>
          <w:p w14:paraId="6254A372"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640F43ED" w14:textId="77777777" w:rsidR="00D0706C" w:rsidRPr="006C6124" w:rsidRDefault="00D0706C" w:rsidP="00D0706C">
            <w:pPr>
              <w:spacing w:after="5"/>
              <w:ind w:left="10" w:right="51" w:hanging="10"/>
              <w:contextualSpacing/>
              <w:rPr>
                <w:rFonts w:ascii="Calibri" w:eastAsia="Calibri" w:hAnsi="Calibri" w:cs="Calibri"/>
                <w:color w:val="000000"/>
              </w:rPr>
            </w:pPr>
          </w:p>
        </w:tc>
      </w:tr>
      <w:tr w:rsidR="00D0706C" w:rsidRPr="006C6124" w14:paraId="231FC5FD" w14:textId="77777777">
        <w:tc>
          <w:tcPr>
            <w:tcW w:w="450" w:type="dxa"/>
            <w:shd w:val="clear" w:color="auto" w:fill="auto"/>
          </w:tcPr>
          <w:p w14:paraId="7B1A2BD2"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3.</w:t>
            </w:r>
          </w:p>
        </w:tc>
        <w:tc>
          <w:tcPr>
            <w:tcW w:w="8820" w:type="dxa"/>
            <w:shd w:val="clear" w:color="auto" w:fill="auto"/>
          </w:tcPr>
          <w:p w14:paraId="36101C70" w14:textId="77777777"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libri" w:hAnsi="Calibri" w:cs="Calibri"/>
                <w:color w:val="000000"/>
              </w:rPr>
              <w:t xml:space="preserve">As a condition for the receipt of Federal funds under title VI of the Rehabilitation Act for supported employment services, the designated State agency or the designated State unit when the designated State agency has a designated State unit, agrees to operate and </w:t>
            </w:r>
            <w:r w:rsidRPr="006C6124">
              <w:rPr>
                <w:rFonts w:ascii="Calibri" w:eastAsia="Cambria" w:hAnsi="Calibri" w:cs="Calibri"/>
                <w:color w:val="000000"/>
              </w:rPr>
              <w:t xml:space="preserve"> is responsible for the administration of</w:t>
            </w:r>
            <w:r w:rsidRPr="006C6124">
              <w:rPr>
                <w:rFonts w:ascii="Calibri" w:eastAsia="Calibri" w:hAnsi="Calibri" w:cs="Calibri"/>
                <w:color w:val="000000"/>
              </w:rPr>
              <w:t xml:space="preserve"> the State Supported Employment Services Program in accordance with the supplement to the VR services portion of the Unified or Combined State Plan</w:t>
            </w:r>
            <w:r w:rsidRPr="006C6124">
              <w:rPr>
                <w:rFonts w:ascii="Calibri" w:eastAsia="Calibri" w:hAnsi="Calibri" w:cs="Calibri"/>
                <w:color w:val="000000"/>
                <w:vertAlign w:val="superscript"/>
              </w:rPr>
              <w:footnoteReference w:id="6"/>
            </w:r>
            <w:r w:rsidRPr="006C6124">
              <w:rPr>
                <w:rFonts w:ascii="Calibri" w:eastAsia="Calibri" w:hAnsi="Calibri" w:cs="Calibri"/>
                <w:color w:val="000000"/>
              </w:rPr>
              <w:t>, the Rehabilitation Act, and all applicable regulations</w:t>
            </w:r>
            <w:r w:rsidRPr="006C6124">
              <w:rPr>
                <w:rFonts w:ascii="Calibri" w:eastAsia="Calibri" w:hAnsi="Calibri" w:cs="Calibri"/>
                <w:color w:val="000000"/>
                <w:vertAlign w:val="superscript"/>
              </w:rPr>
              <w:footnoteReference w:id="7"/>
            </w:r>
            <w:r w:rsidRPr="006C6124">
              <w:rPr>
                <w:rFonts w:ascii="Calibri" w:eastAsia="Calibri" w:hAnsi="Calibri" w:cs="Calibri"/>
                <w:color w:val="000000"/>
              </w:rPr>
              <w:t>,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p>
        </w:tc>
      </w:tr>
      <w:tr w:rsidR="00D0706C" w:rsidRPr="006C6124" w14:paraId="746F051E" w14:textId="77777777">
        <w:tc>
          <w:tcPr>
            <w:tcW w:w="450" w:type="dxa"/>
            <w:shd w:val="clear" w:color="auto" w:fill="auto"/>
          </w:tcPr>
          <w:p w14:paraId="14FB3176"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03A53857" w14:textId="77777777" w:rsidR="00D0706C" w:rsidRPr="006C6124" w:rsidRDefault="00D0706C" w:rsidP="00D0706C">
            <w:pPr>
              <w:spacing w:after="5"/>
              <w:ind w:left="10" w:right="51" w:hanging="10"/>
              <w:contextualSpacing/>
              <w:rPr>
                <w:rFonts w:ascii="Calibri" w:eastAsia="Calibri" w:hAnsi="Calibri" w:cs="Calibri"/>
                <w:color w:val="000000"/>
              </w:rPr>
            </w:pPr>
          </w:p>
        </w:tc>
      </w:tr>
      <w:tr w:rsidR="00D0706C" w:rsidRPr="006C6124" w14:paraId="02A431B2" w14:textId="77777777">
        <w:trPr>
          <w:cantSplit/>
        </w:trPr>
        <w:tc>
          <w:tcPr>
            <w:tcW w:w="450" w:type="dxa"/>
            <w:shd w:val="clear" w:color="auto" w:fill="auto"/>
          </w:tcPr>
          <w:p w14:paraId="622453D8"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4.</w:t>
            </w:r>
          </w:p>
        </w:tc>
        <w:tc>
          <w:tcPr>
            <w:tcW w:w="8820" w:type="dxa"/>
            <w:shd w:val="clear" w:color="auto" w:fill="auto"/>
          </w:tcPr>
          <w:p w14:paraId="26B180BA" w14:textId="77777777"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libri" w:hAnsi="Calibri" w:cs="Calibri"/>
                <w:color w:val="000000"/>
              </w:rPr>
              <w:t xml:space="preserve">The designated State unit, or if not applicable, the designated State agency has the authority under State law to perform the functions of the State regarding the VR services portion of the </w:t>
            </w:r>
            <w:bookmarkStart w:id="11" w:name="_Hlk96075478"/>
            <w:r w:rsidRPr="006C6124">
              <w:rPr>
                <w:rFonts w:ascii="Calibri" w:eastAsia="Calibri" w:hAnsi="Calibri" w:cs="Calibri"/>
                <w:color w:val="000000"/>
              </w:rPr>
              <w:t>Unified or Combined State Plan and its supplement</w:t>
            </w:r>
            <w:bookmarkEnd w:id="11"/>
            <w:r w:rsidRPr="006C6124">
              <w:rPr>
                <w:rFonts w:ascii="Calibri" w:eastAsia="Calibri" w:hAnsi="Calibri" w:cs="Calibri"/>
                <w:color w:val="000000"/>
              </w:rPr>
              <w:t>, and is responsible for the administration of the VR program in accordance with 34 CFR 361.13(b) and (c);</w:t>
            </w:r>
          </w:p>
        </w:tc>
      </w:tr>
      <w:tr w:rsidR="00D0706C" w:rsidRPr="006C6124" w14:paraId="1A1334D9" w14:textId="77777777">
        <w:trPr>
          <w:cantSplit/>
        </w:trPr>
        <w:tc>
          <w:tcPr>
            <w:tcW w:w="450" w:type="dxa"/>
            <w:shd w:val="clear" w:color="auto" w:fill="auto"/>
          </w:tcPr>
          <w:p w14:paraId="70133022"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2B2A8A95" w14:textId="77777777" w:rsidR="00D0706C" w:rsidRPr="006C6124" w:rsidRDefault="00D0706C" w:rsidP="00D0706C">
            <w:pPr>
              <w:spacing w:after="5"/>
              <w:ind w:left="10" w:right="51" w:hanging="10"/>
              <w:contextualSpacing/>
              <w:rPr>
                <w:rFonts w:ascii="Calibri" w:eastAsia="Calibri" w:hAnsi="Calibri" w:cs="Calibri"/>
                <w:color w:val="000000"/>
              </w:rPr>
            </w:pPr>
          </w:p>
        </w:tc>
      </w:tr>
      <w:tr w:rsidR="00D0706C" w:rsidRPr="006C6124" w14:paraId="4E86221E" w14:textId="77777777">
        <w:trPr>
          <w:cantSplit/>
        </w:trPr>
        <w:tc>
          <w:tcPr>
            <w:tcW w:w="450" w:type="dxa"/>
            <w:shd w:val="clear" w:color="auto" w:fill="auto"/>
          </w:tcPr>
          <w:p w14:paraId="6DDF1D94"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5.</w:t>
            </w:r>
          </w:p>
        </w:tc>
        <w:tc>
          <w:tcPr>
            <w:tcW w:w="8820" w:type="dxa"/>
            <w:shd w:val="clear" w:color="auto" w:fill="auto"/>
          </w:tcPr>
          <w:p w14:paraId="237EB22D" w14:textId="77777777"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libri" w:hAnsi="Calibri" w:cs="Calibri"/>
                <w:color w:val="000000"/>
              </w:rPr>
              <w:t>The State legally may carry out each provision of the VR services portion of the Unified or Combined State Plan and its supplement.</w:t>
            </w:r>
          </w:p>
        </w:tc>
      </w:tr>
      <w:tr w:rsidR="00D0706C" w:rsidRPr="006C6124" w14:paraId="0C7BEFC2" w14:textId="77777777">
        <w:tc>
          <w:tcPr>
            <w:tcW w:w="450" w:type="dxa"/>
            <w:shd w:val="clear" w:color="auto" w:fill="auto"/>
          </w:tcPr>
          <w:p w14:paraId="0AD7B477"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1032EB5C" w14:textId="77777777" w:rsidR="00D0706C" w:rsidRPr="006C6124" w:rsidRDefault="00D0706C" w:rsidP="00D0706C">
            <w:pPr>
              <w:spacing w:after="5"/>
              <w:ind w:left="10" w:right="51" w:hanging="10"/>
              <w:contextualSpacing/>
              <w:rPr>
                <w:rFonts w:ascii="Calibri" w:eastAsia="Calibri" w:hAnsi="Calibri" w:cs="Calibri"/>
                <w:color w:val="000000"/>
              </w:rPr>
            </w:pPr>
          </w:p>
        </w:tc>
      </w:tr>
      <w:tr w:rsidR="00D0706C" w:rsidRPr="006C6124" w14:paraId="48F53CD3" w14:textId="77777777">
        <w:tc>
          <w:tcPr>
            <w:tcW w:w="450" w:type="dxa"/>
            <w:shd w:val="clear" w:color="auto" w:fill="auto"/>
          </w:tcPr>
          <w:p w14:paraId="09A995F5"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6.</w:t>
            </w:r>
          </w:p>
        </w:tc>
        <w:tc>
          <w:tcPr>
            <w:tcW w:w="8820" w:type="dxa"/>
            <w:shd w:val="clear" w:color="auto" w:fill="auto"/>
          </w:tcPr>
          <w:p w14:paraId="49EA9F7C" w14:textId="77777777"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libri" w:hAnsi="Calibri" w:cs="Calibri"/>
                <w:color w:val="000000"/>
              </w:rPr>
              <w:t>All provisions of the VR services portion of the Unified or Combined State Plan and its supplement are consistent with State law.</w:t>
            </w:r>
          </w:p>
        </w:tc>
      </w:tr>
      <w:tr w:rsidR="00D0706C" w:rsidRPr="006C6124" w14:paraId="758F4AA3" w14:textId="77777777">
        <w:tc>
          <w:tcPr>
            <w:tcW w:w="450" w:type="dxa"/>
            <w:shd w:val="clear" w:color="auto" w:fill="auto"/>
          </w:tcPr>
          <w:p w14:paraId="032B5042"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2FB2B324" w14:textId="77777777" w:rsidR="00D0706C" w:rsidRPr="006C6124" w:rsidRDefault="00D0706C" w:rsidP="00D0706C">
            <w:pPr>
              <w:spacing w:after="5"/>
              <w:ind w:left="10" w:right="51" w:hanging="10"/>
              <w:contextualSpacing/>
              <w:rPr>
                <w:rFonts w:ascii="Calibri" w:eastAsia="Calibri" w:hAnsi="Calibri" w:cs="Calibri"/>
                <w:color w:val="000000"/>
              </w:rPr>
            </w:pPr>
          </w:p>
        </w:tc>
      </w:tr>
      <w:tr w:rsidR="00D0706C" w:rsidRPr="006C6124" w14:paraId="4382EA66" w14:textId="77777777">
        <w:tc>
          <w:tcPr>
            <w:tcW w:w="450" w:type="dxa"/>
            <w:shd w:val="clear" w:color="auto" w:fill="auto"/>
          </w:tcPr>
          <w:p w14:paraId="152F48E7"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7.</w:t>
            </w:r>
          </w:p>
        </w:tc>
        <w:tc>
          <w:tcPr>
            <w:tcW w:w="8820" w:type="dxa"/>
            <w:shd w:val="clear" w:color="auto" w:fill="auto"/>
          </w:tcPr>
          <w:p w14:paraId="520C78CB" w14:textId="26463D2D"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 xml:space="preserve">The </w:t>
            </w:r>
            <w:r w:rsidR="005F254C">
              <w:rPr>
                <w:rFonts w:ascii="Calibri" w:eastAsia="Calibri" w:hAnsi="Calibri" w:cs="Calibri"/>
                <w:color w:val="000000"/>
              </w:rPr>
              <w:t xml:space="preserve">Director of Minnesota State Services for the Blind </w:t>
            </w:r>
            <w:r w:rsidRPr="006C6124">
              <w:rPr>
                <w:rFonts w:ascii="Calibri" w:eastAsia="Calibri" w:hAnsi="Calibri" w:cs="Calibri"/>
                <w:color w:val="000000"/>
              </w:rPr>
              <w:t xml:space="preserve">has the authority under State law to receive, hold, and disburse Federal funds made available under the VR services portion of </w:t>
            </w:r>
            <w:bookmarkStart w:id="12" w:name="_Hlk96075363"/>
            <w:r w:rsidRPr="006C6124">
              <w:rPr>
                <w:rFonts w:ascii="Calibri" w:eastAsia="Calibri" w:hAnsi="Calibri" w:cs="Calibri"/>
                <w:color w:val="000000"/>
              </w:rPr>
              <w:t xml:space="preserve">the Unified or Combined State Plan </w:t>
            </w:r>
            <w:bookmarkEnd w:id="12"/>
            <w:r w:rsidRPr="006C6124">
              <w:rPr>
                <w:rFonts w:ascii="Calibri" w:eastAsia="Calibri" w:hAnsi="Calibri" w:cs="Calibri"/>
                <w:color w:val="000000"/>
              </w:rPr>
              <w:t>and its supplement;</w:t>
            </w:r>
          </w:p>
        </w:tc>
      </w:tr>
      <w:tr w:rsidR="00D0706C" w:rsidRPr="006C6124" w14:paraId="43745234" w14:textId="77777777">
        <w:tc>
          <w:tcPr>
            <w:tcW w:w="450" w:type="dxa"/>
            <w:shd w:val="clear" w:color="auto" w:fill="auto"/>
          </w:tcPr>
          <w:p w14:paraId="10671F0D"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5F1F00F3"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r>
      <w:tr w:rsidR="00D0706C" w:rsidRPr="006C6124" w14:paraId="756EE64E" w14:textId="77777777">
        <w:tc>
          <w:tcPr>
            <w:tcW w:w="450" w:type="dxa"/>
            <w:shd w:val="clear" w:color="auto" w:fill="auto"/>
          </w:tcPr>
          <w:p w14:paraId="60826C41"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8.</w:t>
            </w:r>
          </w:p>
        </w:tc>
        <w:tc>
          <w:tcPr>
            <w:tcW w:w="8820" w:type="dxa"/>
            <w:shd w:val="clear" w:color="auto" w:fill="auto"/>
          </w:tcPr>
          <w:p w14:paraId="067FF1E1" w14:textId="5BC8C9FA"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libri" w:hAnsi="Calibri" w:cs="Calibri"/>
                <w:color w:val="000000"/>
              </w:rPr>
              <w:t xml:space="preserve">The </w:t>
            </w:r>
            <w:r w:rsidR="00703792">
              <w:rPr>
                <w:rFonts w:ascii="Calibri" w:eastAsia="Calibri" w:hAnsi="Calibri" w:cs="Calibri"/>
                <w:color w:val="000000"/>
              </w:rPr>
              <w:t>Director of Minnesota State Services for the Blind</w:t>
            </w:r>
            <w:r w:rsidRPr="006C6124">
              <w:rPr>
                <w:rFonts w:ascii="Calibri" w:eastAsia="Calibri" w:hAnsi="Calibri" w:cs="Calibri"/>
                <w:color w:val="000000"/>
              </w:rPr>
              <w:t xml:space="preserve"> has the authority to submit the VR services portion of the </w:t>
            </w:r>
            <w:bookmarkStart w:id="13" w:name="_Hlk96075538"/>
            <w:r w:rsidRPr="006C6124">
              <w:rPr>
                <w:rFonts w:ascii="Calibri" w:eastAsia="Calibri" w:hAnsi="Calibri" w:cs="Calibri"/>
                <w:color w:val="000000"/>
              </w:rPr>
              <w:t xml:space="preserve">Unified or Combined State Plan </w:t>
            </w:r>
            <w:bookmarkEnd w:id="13"/>
            <w:r w:rsidRPr="006C6124">
              <w:rPr>
                <w:rFonts w:ascii="Calibri" w:eastAsia="Calibri" w:hAnsi="Calibri" w:cs="Calibri"/>
                <w:color w:val="000000"/>
              </w:rPr>
              <w:t>and the supplement for Supported Employment services;</w:t>
            </w:r>
          </w:p>
        </w:tc>
      </w:tr>
      <w:tr w:rsidR="00D0706C" w:rsidRPr="006C6124" w14:paraId="685C0C15" w14:textId="77777777">
        <w:tc>
          <w:tcPr>
            <w:tcW w:w="450" w:type="dxa"/>
            <w:shd w:val="clear" w:color="auto" w:fill="auto"/>
          </w:tcPr>
          <w:p w14:paraId="3A862690"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c>
          <w:tcPr>
            <w:tcW w:w="8820" w:type="dxa"/>
            <w:shd w:val="clear" w:color="auto" w:fill="auto"/>
          </w:tcPr>
          <w:p w14:paraId="47822F44"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p>
        </w:tc>
      </w:tr>
      <w:tr w:rsidR="00D0706C" w:rsidRPr="006C6124" w14:paraId="342A6812" w14:textId="77777777">
        <w:tc>
          <w:tcPr>
            <w:tcW w:w="450" w:type="dxa"/>
            <w:shd w:val="clear" w:color="auto" w:fill="auto"/>
          </w:tcPr>
          <w:p w14:paraId="2E486D4D" w14:textId="77777777" w:rsidR="00D0706C" w:rsidRPr="006C6124" w:rsidRDefault="00D0706C" w:rsidP="00D0706C">
            <w:pPr>
              <w:spacing w:after="5" w:line="250" w:lineRule="auto"/>
              <w:ind w:left="10" w:right="51" w:hanging="10"/>
              <w:contextualSpacing/>
              <w:rPr>
                <w:rFonts w:ascii="Calibri" w:eastAsia="Calibri" w:hAnsi="Calibri" w:cs="Calibri"/>
                <w:color w:val="000000"/>
              </w:rPr>
            </w:pPr>
            <w:r w:rsidRPr="006C6124">
              <w:rPr>
                <w:rFonts w:ascii="Calibri" w:eastAsia="Calibri" w:hAnsi="Calibri" w:cs="Calibri"/>
                <w:color w:val="000000"/>
              </w:rPr>
              <w:t>9.</w:t>
            </w:r>
          </w:p>
        </w:tc>
        <w:tc>
          <w:tcPr>
            <w:tcW w:w="8820" w:type="dxa"/>
            <w:shd w:val="clear" w:color="auto" w:fill="auto"/>
          </w:tcPr>
          <w:p w14:paraId="2B95FD7D" w14:textId="77777777" w:rsidR="00D0706C" w:rsidRPr="006C6124" w:rsidRDefault="00D0706C" w:rsidP="00D0706C">
            <w:pPr>
              <w:spacing w:after="5"/>
              <w:ind w:left="10" w:right="51" w:hanging="10"/>
              <w:contextualSpacing/>
              <w:rPr>
                <w:rFonts w:ascii="Calibri" w:eastAsia="Calibri" w:hAnsi="Calibri" w:cs="Calibri"/>
                <w:color w:val="000000"/>
              </w:rPr>
            </w:pPr>
            <w:r w:rsidRPr="006C6124">
              <w:rPr>
                <w:rFonts w:ascii="Calibri" w:eastAsia="Calibri" w:hAnsi="Calibri" w:cs="Calibri"/>
                <w:color w:val="000000"/>
              </w:rPr>
              <w:t>The agency that submits the VR services portion of the Unified or Combined State Plan and its supplement has adopted or otherwise formally approved the plan and its supplement.</w:t>
            </w:r>
          </w:p>
        </w:tc>
      </w:tr>
    </w:tbl>
    <w:p w14:paraId="59E75533" w14:textId="77777777" w:rsidR="00D0706C" w:rsidRPr="006C6124" w:rsidRDefault="00D0706C" w:rsidP="00D0706C">
      <w:pPr>
        <w:spacing w:after="5" w:line="250" w:lineRule="auto"/>
        <w:ind w:left="10" w:right="51" w:hanging="10"/>
        <w:rPr>
          <w:rFonts w:ascii="Calibri" w:eastAsia="Calibri" w:hAnsi="Calibri" w:cs="Calibri"/>
          <w:color w:val="000000"/>
        </w:rPr>
      </w:pPr>
    </w:p>
    <w:p w14:paraId="1ABC7D7D" w14:textId="77777777" w:rsidR="00D0706C" w:rsidRPr="006C6124" w:rsidRDefault="00D0706C" w:rsidP="00D0706C">
      <w:pPr>
        <w:spacing w:after="5" w:line="250" w:lineRule="auto"/>
        <w:ind w:left="10" w:right="51" w:hanging="10"/>
        <w:rPr>
          <w:rFonts w:ascii="Calibri" w:eastAsia="Calibri" w:hAnsi="Calibri" w:cs="Calibri"/>
          <w:color w:val="000000"/>
        </w:rPr>
      </w:pPr>
    </w:p>
    <w:p w14:paraId="4C26F6D5" w14:textId="77777777" w:rsidR="00D0706C" w:rsidRPr="006C6124" w:rsidRDefault="00D0706C" w:rsidP="00D0706C">
      <w:pPr>
        <w:spacing w:after="5" w:line="250" w:lineRule="auto"/>
        <w:ind w:left="10" w:right="51" w:hanging="10"/>
        <w:rPr>
          <w:rFonts w:ascii="Calibri" w:eastAsia="Calibri" w:hAnsi="Calibri" w:cs="Calibri"/>
          <w:b/>
          <w:color w:val="000000"/>
        </w:rPr>
      </w:pPr>
      <w:bookmarkStart w:id="14" w:name="_Hlk96075689"/>
      <w:r w:rsidRPr="006C6124">
        <w:rPr>
          <w:rFonts w:ascii="Calibri" w:eastAsia="Calibri" w:hAnsi="Calibri" w:cs="Calibri"/>
          <w:b/>
          <w:color w:val="000000"/>
        </w:rPr>
        <w:t>ASSURANCES</w:t>
      </w:r>
    </w:p>
    <w:p w14:paraId="0DD81BBA"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t xml:space="preserve">The designated State agency or designated State unit, as appropriate and identified in the State certifications included with this VR services portion of the Unified or Combined State </w:t>
      </w:r>
      <w:bookmarkEnd w:id="14"/>
      <w:r w:rsidRPr="006C6124">
        <w:rPr>
          <w:rFonts w:ascii="Calibri" w:eastAsia="Calibri" w:hAnsi="Calibri" w:cs="Calibri"/>
          <w:color w:val="000000"/>
        </w:rPr>
        <w:t xml:space="preserve">Plan and its supplement, through signature of the authorized individual, assures the Commissioner, that it will comply with all of the requirements of the VR services </w:t>
      </w:r>
      <w:bookmarkStart w:id="15" w:name="_Hlk96075757"/>
      <w:r w:rsidRPr="006C6124">
        <w:rPr>
          <w:rFonts w:ascii="Calibri" w:eastAsia="Calibri" w:hAnsi="Calibri" w:cs="Calibri"/>
          <w:color w:val="000000"/>
        </w:rPr>
        <w:t xml:space="preserve">portion of the Unified or Combined State Plan </w:t>
      </w:r>
      <w:bookmarkEnd w:id="15"/>
      <w:r w:rsidRPr="006C6124">
        <w:rPr>
          <w:rFonts w:ascii="Calibri" w:eastAsia="Calibri" w:hAnsi="Calibri" w:cs="Calibri"/>
          <w:color w:val="000000"/>
        </w:rPr>
        <w:t>and its supplement, as set forth in sections 101(a) and 606 of the Rehabilitation Act. The individual authorized to submit the VR services portion of the Unified or Combined State Plan and its supplement makes the following assurances:</w:t>
      </w:r>
    </w:p>
    <w:p w14:paraId="36AC79F3" w14:textId="77777777" w:rsidR="00D0706C" w:rsidRPr="006C6124" w:rsidRDefault="00D0706C" w:rsidP="00D0706C">
      <w:pPr>
        <w:spacing w:after="5" w:line="250" w:lineRule="auto"/>
        <w:ind w:left="10" w:right="51" w:hanging="10"/>
        <w:rPr>
          <w:rFonts w:ascii="Calibri" w:eastAsia="Calibri" w:hAnsi="Calibri" w:cs="Calibri"/>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589"/>
      </w:tblGrid>
      <w:tr w:rsidR="00D0706C" w:rsidRPr="006C6124" w14:paraId="5442576B" w14:textId="77777777">
        <w:trPr>
          <w:tblHeader/>
        </w:trPr>
        <w:tc>
          <w:tcPr>
            <w:tcW w:w="10964" w:type="dxa"/>
            <w:gridSpan w:val="2"/>
            <w:shd w:val="clear" w:color="auto" w:fill="auto"/>
          </w:tcPr>
          <w:p w14:paraId="11CF2EC8" w14:textId="77777777" w:rsidR="00D0706C" w:rsidRPr="006C6124" w:rsidRDefault="00D0706C" w:rsidP="00D0706C">
            <w:pPr>
              <w:spacing w:after="5" w:line="250" w:lineRule="auto"/>
              <w:ind w:left="10" w:right="51" w:hanging="10"/>
              <w:rPr>
                <w:rFonts w:ascii="Calibri" w:eastAsia="Calibri" w:hAnsi="Calibri" w:cs="Calibri"/>
                <w:b/>
                <w:color w:val="000000"/>
              </w:rPr>
            </w:pPr>
            <w:r w:rsidRPr="006C6124">
              <w:rPr>
                <w:rFonts w:ascii="Calibri" w:eastAsia="Calibri" w:hAnsi="Calibri" w:cs="Calibri"/>
                <w:b/>
                <w:color w:val="000000"/>
              </w:rPr>
              <w:t>The State Plan must provide assurances that:</w:t>
            </w:r>
          </w:p>
        </w:tc>
      </w:tr>
      <w:tr w:rsidR="00D0706C" w:rsidRPr="006C6124" w14:paraId="7169CCB0" w14:textId="77777777">
        <w:tc>
          <w:tcPr>
            <w:tcW w:w="688" w:type="dxa"/>
            <w:shd w:val="clear" w:color="auto" w:fill="auto"/>
          </w:tcPr>
          <w:p w14:paraId="10207685"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t>1.</w:t>
            </w:r>
          </w:p>
        </w:tc>
        <w:tc>
          <w:tcPr>
            <w:tcW w:w="10276" w:type="dxa"/>
            <w:shd w:val="clear" w:color="auto" w:fill="auto"/>
          </w:tcPr>
          <w:p w14:paraId="486F8D34" w14:textId="77777777" w:rsidR="00D0706C" w:rsidRPr="006C6124" w:rsidRDefault="00D0706C" w:rsidP="00D0706C">
            <w:pPr>
              <w:spacing w:after="5" w:line="250" w:lineRule="auto"/>
              <w:ind w:left="10" w:right="51" w:hanging="10"/>
              <w:rPr>
                <w:rFonts w:ascii="Calibri" w:eastAsia="Calibri" w:hAnsi="Calibri" w:cs="Calibri"/>
                <w:b/>
                <w:bCs/>
                <w:i/>
                <w:iCs/>
                <w:color w:val="000000"/>
              </w:rPr>
            </w:pPr>
            <w:r w:rsidRPr="006C6124">
              <w:rPr>
                <w:rFonts w:ascii="Calibri" w:eastAsia="Calibri" w:hAnsi="Calibri" w:cs="Calibri"/>
                <w:b/>
                <w:bCs/>
                <w:color w:val="000000"/>
              </w:rPr>
              <w:t xml:space="preserve">Public Comment on Policies and Procedures: </w:t>
            </w:r>
            <w:r w:rsidRPr="006C6124">
              <w:rPr>
                <w:rFonts w:ascii="Calibri" w:eastAsia="Calibri" w:hAnsi="Calibri" w:cs="Calibri"/>
                <w:color w:val="000000"/>
              </w:rPr>
              <w:t xml:space="preserve">The designated State agency assures it will comply with all statutory and regulatory requirements for public participation in the </w:t>
            </w:r>
            <w:bookmarkStart w:id="16" w:name="_Hlk96075868"/>
            <w:r w:rsidRPr="006C6124">
              <w:rPr>
                <w:rFonts w:ascii="Calibri" w:eastAsia="Calibri" w:hAnsi="Calibri" w:cs="Calibri"/>
                <w:color w:val="000000"/>
              </w:rPr>
              <w:t>VR Services Portion of the Unified or Combined State Plan</w:t>
            </w:r>
            <w:bookmarkEnd w:id="16"/>
            <w:r w:rsidRPr="006C6124">
              <w:rPr>
                <w:rFonts w:ascii="Calibri" w:eastAsia="Calibri" w:hAnsi="Calibri" w:cs="Calibri"/>
                <w:color w:val="000000"/>
              </w:rPr>
              <w:t>, as required by section 101(a)(16)(A) of the Rehabilitation Act.</w:t>
            </w:r>
          </w:p>
          <w:p w14:paraId="7A88E944" w14:textId="77777777" w:rsidR="00D0706C" w:rsidRPr="006C6124" w:rsidRDefault="00D0706C" w:rsidP="00D0706C">
            <w:pPr>
              <w:spacing w:after="5" w:line="250" w:lineRule="auto"/>
              <w:ind w:left="10" w:right="51" w:hanging="10"/>
              <w:rPr>
                <w:rFonts w:ascii="Calibri" w:eastAsia="Calibri" w:hAnsi="Calibri" w:cs="Calibri"/>
                <w:color w:val="000000"/>
              </w:rPr>
            </w:pPr>
          </w:p>
        </w:tc>
      </w:tr>
      <w:tr w:rsidR="00D0706C" w:rsidRPr="006C6124" w14:paraId="54EC0010" w14:textId="77777777">
        <w:tc>
          <w:tcPr>
            <w:tcW w:w="688" w:type="dxa"/>
            <w:shd w:val="clear" w:color="auto" w:fill="auto"/>
          </w:tcPr>
          <w:p w14:paraId="02DE66DD" w14:textId="77777777" w:rsidR="00D0706C" w:rsidRPr="006C6124" w:rsidRDefault="00D0706C" w:rsidP="00D0706C">
            <w:pPr>
              <w:spacing w:after="5" w:line="250" w:lineRule="auto"/>
              <w:ind w:left="10" w:right="51" w:hanging="10"/>
              <w:rPr>
                <w:rFonts w:ascii="Calibri" w:eastAsia="Calibri" w:hAnsi="Calibri" w:cs="Calibri"/>
                <w:color w:val="000000"/>
              </w:rPr>
            </w:pPr>
          </w:p>
        </w:tc>
        <w:tc>
          <w:tcPr>
            <w:tcW w:w="10276" w:type="dxa"/>
            <w:shd w:val="clear" w:color="auto" w:fill="auto"/>
          </w:tcPr>
          <w:p w14:paraId="291CE78E" w14:textId="77777777" w:rsidR="00D0706C" w:rsidRPr="006C6124" w:rsidRDefault="00D0706C" w:rsidP="00D0706C">
            <w:pPr>
              <w:spacing w:after="5" w:line="250" w:lineRule="auto"/>
              <w:ind w:left="10" w:right="51" w:hanging="10"/>
              <w:rPr>
                <w:rFonts w:ascii="Calibri" w:eastAsia="Calibri" w:hAnsi="Calibri" w:cs="Calibri"/>
                <w:color w:val="000000"/>
              </w:rPr>
            </w:pPr>
          </w:p>
        </w:tc>
      </w:tr>
      <w:tr w:rsidR="00D0706C" w:rsidRPr="006C6124" w14:paraId="6096ECC8" w14:textId="77777777">
        <w:tc>
          <w:tcPr>
            <w:tcW w:w="688" w:type="dxa"/>
            <w:shd w:val="clear" w:color="auto" w:fill="auto"/>
          </w:tcPr>
          <w:p w14:paraId="7CCB4F9C"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t>2.</w:t>
            </w:r>
          </w:p>
        </w:tc>
        <w:tc>
          <w:tcPr>
            <w:tcW w:w="10276" w:type="dxa"/>
            <w:shd w:val="clear" w:color="auto" w:fill="auto"/>
          </w:tcPr>
          <w:p w14:paraId="1EB9FFCC" w14:textId="77777777" w:rsidR="00D0706C" w:rsidRPr="006C6124" w:rsidRDefault="00D0706C" w:rsidP="00D0706C">
            <w:pPr>
              <w:spacing w:after="5" w:line="250" w:lineRule="auto"/>
              <w:ind w:left="10" w:right="51" w:hanging="10"/>
              <w:rPr>
                <w:rFonts w:ascii="Calibri" w:eastAsia="Calibri" w:hAnsi="Calibri" w:cs="Calibri"/>
                <w:color w:val="000000"/>
              </w:rPr>
            </w:pPr>
            <w:bookmarkStart w:id="17" w:name="_Hlk96076030"/>
            <w:r w:rsidRPr="006C6124">
              <w:rPr>
                <w:rFonts w:ascii="Calibri" w:eastAsia="Calibri" w:hAnsi="Calibri" w:cs="Calibri"/>
                <w:b/>
                <w:bCs/>
                <w:color w:val="000000"/>
              </w:rPr>
              <w:t>Submission of the VR services portion of the Unified or Combined State Plan and Its Supplement:</w:t>
            </w:r>
            <w:r w:rsidRPr="006C6124">
              <w:rPr>
                <w:rFonts w:ascii="Calibri" w:eastAsia="Calibri" w:hAnsi="Calibri" w:cs="Calibri"/>
                <w:b/>
                <w:bCs/>
                <w:i/>
                <w:iCs/>
                <w:color w:val="000000"/>
              </w:rPr>
              <w:t xml:space="preserve"> </w:t>
            </w:r>
            <w:bookmarkEnd w:id="17"/>
            <w:r w:rsidRPr="006C6124">
              <w:rPr>
                <w:rFonts w:ascii="Calibri" w:eastAsia="Calibri" w:hAnsi="Calibri" w:cs="Calibri"/>
                <w:color w:val="000000"/>
              </w:rPr>
              <w:t xml:space="preserve">The designated State unit assures it will comply with  all requirements pertaining to the submission and revisions of the </w:t>
            </w:r>
            <w:bookmarkStart w:id="18" w:name="_Hlk96076165"/>
            <w:r w:rsidRPr="006C6124">
              <w:rPr>
                <w:rFonts w:ascii="Calibri" w:eastAsia="Calibri" w:hAnsi="Calibri" w:cs="Calibri"/>
                <w:color w:val="000000"/>
              </w:rPr>
              <w:t>VR services portion of the Unified or Combined State Plan</w:t>
            </w:r>
            <w:bookmarkEnd w:id="18"/>
            <w:r w:rsidRPr="006C6124">
              <w:rPr>
                <w:rFonts w:ascii="Calibri" w:eastAsia="Calibri" w:hAnsi="Calibri" w:cs="Calibri"/>
                <w:color w:val="000000"/>
              </w:rPr>
              <w:t xml:space="preserve"> and its supplement for the State Supported Employment Services program, as required by sections 101(a)(1), (22), (23), and 606(a) of the Rehabilitation Act; section 102 of WIOA </w:t>
            </w:r>
            <w:bookmarkStart w:id="19" w:name="_Hlk96076337"/>
            <w:r w:rsidRPr="006C6124">
              <w:rPr>
                <w:rFonts w:ascii="Calibri" w:eastAsia="Calibri" w:hAnsi="Calibri" w:cs="Calibri"/>
                <w:color w:val="000000"/>
              </w:rPr>
              <w:t>in the case of the submission of a Unified State plan</w:t>
            </w:r>
            <w:bookmarkEnd w:id="19"/>
            <w:r w:rsidRPr="006C6124">
              <w:rPr>
                <w:rFonts w:ascii="Calibri" w:eastAsia="Calibri" w:hAnsi="Calibri" w:cs="Calibri"/>
                <w:color w:val="000000"/>
              </w:rPr>
              <w:t>; section 103 of WIOA in the case of a submission of a Combined State Plan; 34 C.F.R. 76.140.</w:t>
            </w:r>
          </w:p>
        </w:tc>
      </w:tr>
      <w:tr w:rsidR="00D0706C" w:rsidRPr="006C6124" w14:paraId="132881E3" w14:textId="77777777">
        <w:tc>
          <w:tcPr>
            <w:tcW w:w="688" w:type="dxa"/>
            <w:shd w:val="clear" w:color="auto" w:fill="auto"/>
          </w:tcPr>
          <w:p w14:paraId="19068CED" w14:textId="77777777" w:rsidR="00D0706C" w:rsidRPr="006C6124" w:rsidRDefault="00D0706C" w:rsidP="00D0706C">
            <w:pPr>
              <w:spacing w:after="5" w:line="250" w:lineRule="auto"/>
              <w:ind w:left="10" w:right="51" w:hanging="10"/>
              <w:rPr>
                <w:rFonts w:ascii="Calibri" w:eastAsia="Calibri" w:hAnsi="Calibri" w:cs="Calibri"/>
                <w:color w:val="000000"/>
              </w:rPr>
            </w:pPr>
          </w:p>
        </w:tc>
        <w:tc>
          <w:tcPr>
            <w:tcW w:w="10276" w:type="dxa"/>
            <w:shd w:val="clear" w:color="auto" w:fill="auto"/>
          </w:tcPr>
          <w:p w14:paraId="2B591287" w14:textId="77777777" w:rsidR="00D0706C" w:rsidRPr="006C6124" w:rsidRDefault="00D0706C" w:rsidP="00D0706C">
            <w:pPr>
              <w:spacing w:after="5" w:line="250" w:lineRule="auto"/>
              <w:ind w:left="10" w:right="51" w:hanging="10"/>
              <w:rPr>
                <w:rFonts w:ascii="Calibri" w:eastAsia="Calibri" w:hAnsi="Calibri" w:cs="Calibri"/>
                <w:b/>
                <w:bCs/>
                <w:color w:val="000000"/>
              </w:rPr>
            </w:pPr>
          </w:p>
        </w:tc>
      </w:tr>
      <w:tr w:rsidR="00D0706C" w:rsidRPr="006C6124" w14:paraId="6BFB7AB3" w14:textId="77777777">
        <w:tc>
          <w:tcPr>
            <w:tcW w:w="688" w:type="dxa"/>
            <w:shd w:val="clear" w:color="auto" w:fill="auto"/>
          </w:tcPr>
          <w:p w14:paraId="140BA7D3"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t>3.</w:t>
            </w:r>
          </w:p>
        </w:tc>
        <w:tc>
          <w:tcPr>
            <w:tcW w:w="10276" w:type="dxa"/>
            <w:shd w:val="clear" w:color="auto" w:fill="auto"/>
          </w:tcPr>
          <w:p w14:paraId="1E3212A3"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b/>
                <w:color w:val="000000"/>
              </w:rPr>
              <w:t>Administration of the VR services portion of the Unified or Combined State Plan</w:t>
            </w:r>
            <w:r w:rsidRPr="006C6124">
              <w:rPr>
                <w:rFonts w:ascii="Calibri" w:eastAsia="Calibri" w:hAnsi="Calibri" w:cs="Calibri"/>
                <w:b/>
                <w:iCs/>
                <w:color w:val="000000"/>
              </w:rPr>
              <w:t>:</w:t>
            </w:r>
            <w:r w:rsidRPr="006C6124">
              <w:rPr>
                <w:rFonts w:ascii="Calibri" w:eastAsia="Calibri" w:hAnsi="Calibri" w:cs="Calibri"/>
                <w:b/>
                <w:i/>
                <w:color w:val="000000"/>
              </w:rPr>
              <w:t xml:space="preserve"> </w:t>
            </w:r>
            <w:r w:rsidRPr="006C6124">
              <w:rPr>
                <w:rFonts w:ascii="Calibri" w:eastAsia="Calibri" w:hAnsi="Calibri" w:cs="Calibri"/>
                <w:color w:val="000000"/>
              </w:rPr>
              <w:t xml:space="preserve">The designated State agency or designated State unit, as appropriate, assures it will comply with the requirements related to:  </w:t>
            </w:r>
          </w:p>
          <w:p w14:paraId="0201A78C"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 xml:space="preserve"> the establishment of the designated State agency and designated State unit, as required by section 101(a)(2) of the Rehabilitation Act.  </w:t>
            </w:r>
          </w:p>
          <w:p w14:paraId="14855F68"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 xml:space="preserve">either a State independent commission or State Rehabilitation Council, as required by section 101(a)(21) of the Rehabilitation Act. </w:t>
            </w:r>
          </w:p>
          <w:p w14:paraId="5BA9DF71"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 xml:space="preserve">consultations regarding the administration of the VR services portion of the </w:t>
            </w:r>
            <w:bookmarkStart w:id="20" w:name="_Hlk96076854"/>
            <w:r w:rsidRPr="006C6124">
              <w:rPr>
                <w:rFonts w:ascii="Calibri" w:eastAsia="Calibri" w:hAnsi="Calibri" w:cs="Calibri"/>
                <w:color w:val="000000"/>
              </w:rPr>
              <w:t>Unified or Combined State Plan</w:t>
            </w:r>
            <w:bookmarkEnd w:id="20"/>
            <w:r w:rsidRPr="006C6124">
              <w:rPr>
                <w:rFonts w:ascii="Calibri" w:eastAsia="Calibri" w:hAnsi="Calibri" w:cs="Calibri"/>
                <w:color w:val="000000"/>
              </w:rPr>
              <w:t>, in accordance with section 101(a)(16)(B) of the Rehabilitation Act.</w:t>
            </w:r>
          </w:p>
          <w:p w14:paraId="1EEDC78C"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the financial participation by the State, or if the State so elects, by the State and local agencies, to provide the amount of the non-Federal share of the cost of carrying out the VR program in accordance with section 101(a)(3).</w:t>
            </w:r>
          </w:p>
          <w:p w14:paraId="230D0301"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lastRenderedPageBreak/>
              <w:t xml:space="preserve">as applicable, the local administration of the VR services portion of the Unified or Combined State Plan, in accordance with section 101(a)(2)(A) of the Rehabilitation Act.  </w:t>
            </w:r>
          </w:p>
          <w:p w14:paraId="4538F93B"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 xml:space="preserve">as applicable, the shared funding and administration of joint programs, in accordance with section 101(a)(2)(A)(ii) of the Rehabilitation Act.  </w:t>
            </w:r>
          </w:p>
          <w:p w14:paraId="35BE2B4B" w14:textId="77777777" w:rsidR="00D0706C" w:rsidRPr="006C6124" w:rsidRDefault="00D0706C">
            <w:pPr>
              <w:numPr>
                <w:ilvl w:val="0"/>
                <w:numId w:val="30"/>
              </w:numPr>
              <w:spacing w:after="5" w:line="259" w:lineRule="auto"/>
              <w:ind w:right="51"/>
              <w:rPr>
                <w:rFonts w:ascii="Calibri" w:eastAsia="Calibri" w:hAnsi="Calibri" w:cs="Calibri"/>
                <w:color w:val="000000"/>
              </w:rPr>
            </w:pPr>
            <w:r w:rsidRPr="006C6124">
              <w:rPr>
                <w:rFonts w:ascii="Calibri" w:eastAsia="Calibri" w:hAnsi="Calibri" w:cs="Calibri"/>
                <w:color w:val="000000"/>
              </w:rPr>
              <w:t xml:space="preserve">statewideness and waivers of statewideness requirements, as set forth in </w:t>
            </w:r>
          </w:p>
          <w:p w14:paraId="5B8FB46F" w14:textId="77777777" w:rsidR="00D0706C" w:rsidRPr="006C6124" w:rsidRDefault="00D0706C" w:rsidP="00D0706C">
            <w:pPr>
              <w:spacing w:after="5" w:line="250" w:lineRule="auto"/>
              <w:ind w:left="360" w:right="51" w:hanging="10"/>
              <w:rPr>
                <w:rFonts w:ascii="Calibri" w:eastAsia="Calibri" w:hAnsi="Calibri" w:cs="Calibri"/>
                <w:color w:val="000000"/>
              </w:rPr>
            </w:pPr>
            <w:r w:rsidRPr="006C6124">
              <w:rPr>
                <w:rFonts w:ascii="Calibri" w:eastAsia="Calibri" w:hAnsi="Calibri" w:cs="Calibri"/>
                <w:color w:val="000000"/>
              </w:rPr>
              <w:t>section 101(a)(4) of the Rehabilitation Act.</w:t>
            </w:r>
          </w:p>
          <w:p w14:paraId="3309FE83" w14:textId="77777777" w:rsidR="00D0706C" w:rsidRPr="006C6124" w:rsidRDefault="00D0706C" w:rsidP="00D0706C">
            <w:pPr>
              <w:spacing w:after="5" w:line="250" w:lineRule="auto"/>
              <w:ind w:left="360" w:right="51" w:hanging="10"/>
              <w:rPr>
                <w:rFonts w:ascii="Calibri" w:eastAsia="Calibri" w:hAnsi="Calibri" w:cs="Calibri"/>
                <w:color w:val="000000"/>
                <w:highlight w:val="yellow"/>
              </w:rPr>
            </w:pPr>
          </w:p>
          <w:p w14:paraId="2175A88E"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 xml:space="preserve">the requirements for cooperation, collaboration, and coordination, as required by sections 101(a)(11) and (24)(B); and 606(b) of the Rehabilitation Act.  </w:t>
            </w:r>
          </w:p>
          <w:p w14:paraId="39D01592"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all required methods of administration, as required by section 101(a)(6) of the Rehabilitation Act.</w:t>
            </w:r>
          </w:p>
          <w:p w14:paraId="7ED84E8A"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the requirements for the comprehensive system of personnel development, as set forth in section 101(a)(7) of the Rehabilitation Act.</w:t>
            </w:r>
          </w:p>
          <w:p w14:paraId="4B49EF6E"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 xml:space="preserve">the compilation and submission to the Commissioner of statewide assessments, estimates, State goals and priorities, strategies, and progress reports, as appropriate, and as required by sections 101(a)(15), 105(c)(2), and 606(b)(8) of the Rehabilitation Act. </w:t>
            </w:r>
          </w:p>
          <w:p w14:paraId="6E732CFE" w14:textId="77777777" w:rsidR="00D0706C" w:rsidRPr="006C6124" w:rsidRDefault="00D0706C">
            <w:pPr>
              <w:numPr>
                <w:ilvl w:val="0"/>
                <w:numId w:val="30"/>
              </w:numPr>
              <w:spacing w:after="160" w:line="259" w:lineRule="auto"/>
              <w:ind w:right="51"/>
              <w:rPr>
                <w:rFonts w:ascii="Calibri" w:eastAsia="Calibri" w:hAnsi="Calibri" w:cs="Calibri"/>
                <w:color w:val="000000"/>
              </w:rPr>
            </w:pPr>
            <w:r w:rsidRPr="006C6124">
              <w:rPr>
                <w:rFonts w:ascii="Calibri" w:eastAsia="Calibri" w:hAnsi="Calibri" w:cs="Calibri"/>
                <w:color w:val="000000"/>
              </w:rPr>
              <w:t>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 as set forth in section 101(a)(18)(A).</w:t>
            </w:r>
          </w:p>
          <w:p w14:paraId="53920AE7" w14:textId="77777777" w:rsidR="00D0706C" w:rsidRPr="006C6124" w:rsidRDefault="00D0706C">
            <w:pPr>
              <w:numPr>
                <w:ilvl w:val="0"/>
                <w:numId w:val="30"/>
              </w:numPr>
              <w:spacing w:after="160" w:line="259" w:lineRule="auto"/>
              <w:ind w:left="383" w:right="51" w:hanging="383"/>
              <w:rPr>
                <w:rFonts w:ascii="Calibri" w:eastAsia="Calibri" w:hAnsi="Calibri" w:cs="Calibri"/>
                <w:color w:val="000000"/>
              </w:rPr>
            </w:pPr>
            <w:bookmarkStart w:id="21" w:name="_Hlk96077067"/>
            <w:r w:rsidRPr="006C6124">
              <w:rPr>
                <w:rFonts w:ascii="Calibri" w:eastAsia="Calibri" w:hAnsi="Calibri" w:cs="Calibri"/>
                <w:color w:val="000000"/>
              </w:rPr>
              <w:t>the submission of reports as required by section 101(a)(10) of the Rehabilitation Act.</w:t>
            </w:r>
          </w:p>
          <w:bookmarkEnd w:id="21"/>
          <w:p w14:paraId="24B918DC"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b/>
                <w:i/>
                <w:color w:val="000000"/>
              </w:rPr>
              <w:t xml:space="preserve"> </w:t>
            </w:r>
          </w:p>
        </w:tc>
      </w:tr>
      <w:tr w:rsidR="00D0706C" w:rsidRPr="006C6124" w14:paraId="0E882B87" w14:textId="77777777">
        <w:tc>
          <w:tcPr>
            <w:tcW w:w="688" w:type="dxa"/>
            <w:shd w:val="clear" w:color="auto" w:fill="auto"/>
          </w:tcPr>
          <w:p w14:paraId="299F0982" w14:textId="77777777" w:rsidR="00D0706C" w:rsidRPr="006C6124" w:rsidRDefault="00D0706C" w:rsidP="00D0706C">
            <w:pPr>
              <w:spacing w:after="5" w:line="250" w:lineRule="auto"/>
              <w:ind w:left="10" w:right="51" w:hanging="10"/>
              <w:rPr>
                <w:rFonts w:ascii="Calibri" w:eastAsia="Calibri" w:hAnsi="Calibri" w:cs="Calibri"/>
                <w:color w:val="000000"/>
              </w:rPr>
            </w:pPr>
          </w:p>
        </w:tc>
        <w:tc>
          <w:tcPr>
            <w:tcW w:w="10276" w:type="dxa"/>
            <w:shd w:val="clear" w:color="auto" w:fill="auto"/>
          </w:tcPr>
          <w:p w14:paraId="553C8A08" w14:textId="77777777" w:rsidR="00D0706C" w:rsidRPr="006C6124" w:rsidRDefault="00D0706C" w:rsidP="00D0706C">
            <w:pPr>
              <w:spacing w:after="5" w:line="250" w:lineRule="auto"/>
              <w:ind w:left="10" w:right="51" w:hanging="10"/>
              <w:rPr>
                <w:rFonts w:ascii="Calibri" w:eastAsia="Calibri" w:hAnsi="Calibri" w:cs="Calibri"/>
                <w:color w:val="000000"/>
              </w:rPr>
            </w:pPr>
          </w:p>
        </w:tc>
      </w:tr>
      <w:tr w:rsidR="00D0706C" w:rsidRPr="006C6124" w14:paraId="5133D1FD" w14:textId="77777777">
        <w:tc>
          <w:tcPr>
            <w:tcW w:w="688" w:type="dxa"/>
            <w:shd w:val="clear" w:color="auto" w:fill="auto"/>
          </w:tcPr>
          <w:p w14:paraId="18FA8C9F"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t>4.</w:t>
            </w:r>
          </w:p>
        </w:tc>
        <w:tc>
          <w:tcPr>
            <w:tcW w:w="10276" w:type="dxa"/>
            <w:shd w:val="clear" w:color="auto" w:fill="auto"/>
          </w:tcPr>
          <w:p w14:paraId="5EF17A8A"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b/>
                <w:bCs/>
                <w:color w:val="000000"/>
              </w:rPr>
              <w:t>Administration of the Provision of VR Services:</w:t>
            </w:r>
            <w:r w:rsidRPr="006C6124">
              <w:rPr>
                <w:rFonts w:ascii="Calibri" w:eastAsia="Calibri" w:hAnsi="Calibri" w:cs="Calibri"/>
                <w:b/>
                <w:bCs/>
                <w:i/>
                <w:iCs/>
                <w:color w:val="000000"/>
              </w:rPr>
              <w:t xml:space="preserve"> </w:t>
            </w:r>
            <w:r w:rsidRPr="006C6124">
              <w:rPr>
                <w:rFonts w:ascii="Calibri" w:eastAsia="Calibri" w:hAnsi="Calibri" w:cs="Calibri"/>
                <w:color w:val="000000"/>
              </w:rPr>
              <w:t>The designated State agency, or designated State unit, as appropriate, assures that it will:</w:t>
            </w:r>
          </w:p>
          <w:p w14:paraId="70F6E49C" w14:textId="77777777" w:rsidR="00D0706C" w:rsidRPr="006C6124" w:rsidRDefault="00D0706C">
            <w:pPr>
              <w:numPr>
                <w:ilvl w:val="2"/>
                <w:numId w:val="29"/>
              </w:numPr>
              <w:spacing w:after="160" w:line="259" w:lineRule="auto"/>
              <w:ind w:left="270" w:right="51"/>
              <w:rPr>
                <w:rFonts w:ascii="Calibri" w:eastAsia="Calibri" w:hAnsi="Calibri" w:cs="Calibri"/>
                <w:color w:val="000000"/>
              </w:rPr>
            </w:pPr>
            <w:r w:rsidRPr="006C6124">
              <w:rPr>
                <w:rFonts w:ascii="Calibri" w:eastAsia="Calibri" w:hAnsi="Calibri" w:cs="Calibri"/>
                <w:color w:val="000000"/>
              </w:rPr>
              <w:t xml:space="preserve">comply with all requirements regarding information and referral services in accordance with sections 101(a)(5)(E) and (20) of the Rehabilitation Act. </w:t>
            </w:r>
          </w:p>
          <w:p w14:paraId="4AAD24C4" w14:textId="77777777" w:rsidR="00D0706C" w:rsidRPr="006C6124" w:rsidRDefault="00D0706C">
            <w:pPr>
              <w:numPr>
                <w:ilvl w:val="2"/>
                <w:numId w:val="29"/>
              </w:numPr>
              <w:spacing w:after="160" w:line="259" w:lineRule="auto"/>
              <w:ind w:left="270" w:right="51"/>
              <w:rPr>
                <w:rFonts w:ascii="Calibri" w:eastAsia="Calibri" w:hAnsi="Calibri" w:cs="Calibri"/>
                <w:color w:val="000000"/>
              </w:rPr>
            </w:pPr>
            <w:r w:rsidRPr="006C6124">
              <w:rPr>
                <w:rFonts w:ascii="Calibri" w:eastAsia="Calibri" w:hAnsi="Calibri" w:cs="Calibri"/>
                <w:color w:val="000000"/>
              </w:rPr>
              <w:t>impose no duration of residence requirement as part of determining an individual's eligibility for VR services or that excludes from services under the plan any individual who is present in the State in accordance with section 101(a)(12) of the Rehabilitation Act.</w:t>
            </w:r>
          </w:p>
          <w:p w14:paraId="6F6842D9" w14:textId="77777777" w:rsidR="00D0706C" w:rsidRPr="006C6124" w:rsidRDefault="00D0706C">
            <w:pPr>
              <w:numPr>
                <w:ilvl w:val="2"/>
                <w:numId w:val="29"/>
              </w:numPr>
              <w:spacing w:after="160" w:line="259" w:lineRule="auto"/>
              <w:ind w:left="270" w:right="51"/>
              <w:rPr>
                <w:rFonts w:ascii="Calibri" w:eastAsia="Calibri" w:hAnsi="Calibri" w:cs="Calibri"/>
                <w:color w:val="000000"/>
              </w:rPr>
            </w:pPr>
            <w:r w:rsidRPr="006C6124">
              <w:rPr>
                <w:rFonts w:ascii="Calibri" w:eastAsia="Calibri" w:hAnsi="Calibri" w:cs="Calibri"/>
                <w:color w:val="000000"/>
              </w:rPr>
              <w:t xml:space="preserve">provide the full range of services listed in section 103(a) of the Rehabilitation Act, as appropriate, to all eligible individuals with disabilities in the State who apply for services or, if implementing an order of selection, in accordance with criteria established by the State for the order of selection as set out in section 101(a)(5) of the Rehabilitation Act.  </w:t>
            </w:r>
          </w:p>
          <w:p w14:paraId="0DD98242" w14:textId="77777777" w:rsidR="00D0706C" w:rsidRPr="006C6124" w:rsidRDefault="00D0706C">
            <w:pPr>
              <w:widowControl w:val="0"/>
              <w:numPr>
                <w:ilvl w:val="2"/>
                <w:numId w:val="29"/>
              </w:numPr>
              <w:autoSpaceDE w:val="0"/>
              <w:autoSpaceDN w:val="0"/>
              <w:adjustRightInd w:val="0"/>
              <w:spacing w:after="160" w:line="259" w:lineRule="auto"/>
              <w:ind w:left="270" w:right="51"/>
              <w:rPr>
                <w:rFonts w:ascii="Calibri" w:eastAsia="Calibri" w:hAnsi="Calibri" w:cs="Calibri"/>
                <w:color w:val="000000"/>
              </w:rPr>
            </w:pPr>
            <w:r w:rsidRPr="006C6124">
              <w:rPr>
                <w:rFonts w:ascii="Calibri" w:eastAsia="Calibri" w:hAnsi="Calibri" w:cs="Calibri"/>
                <w:color w:val="000000"/>
              </w:rPr>
              <w:t>determine whether comparable services and benefits are available to the individual in accordance with section 101(a)(8) of the Rehabilitation Act.</w:t>
            </w:r>
          </w:p>
          <w:p w14:paraId="6C66E887" w14:textId="77777777" w:rsidR="00D0706C" w:rsidRPr="006C6124" w:rsidRDefault="00D0706C">
            <w:pPr>
              <w:numPr>
                <w:ilvl w:val="2"/>
                <w:numId w:val="29"/>
              </w:numPr>
              <w:spacing w:after="160" w:line="259" w:lineRule="auto"/>
              <w:ind w:left="270" w:right="51"/>
              <w:rPr>
                <w:rFonts w:ascii="Calibri" w:eastAsia="Calibri" w:hAnsi="Calibri" w:cs="Calibri"/>
                <w:color w:val="000000"/>
              </w:rPr>
            </w:pPr>
            <w:r w:rsidRPr="006C6124">
              <w:rPr>
                <w:rFonts w:ascii="Calibri" w:eastAsia="Calibri" w:hAnsi="Calibri" w:cs="Calibri"/>
                <w:color w:val="000000"/>
              </w:rPr>
              <w:t>comply with the requirements for the development of an individualized plan for employment in accordance with section 102(b) of the Rehabilitation Act.</w:t>
            </w:r>
          </w:p>
          <w:p w14:paraId="42F378FB" w14:textId="77777777" w:rsidR="00D0706C" w:rsidRPr="006C6124" w:rsidRDefault="00D0706C">
            <w:pPr>
              <w:numPr>
                <w:ilvl w:val="2"/>
                <w:numId w:val="29"/>
              </w:numPr>
              <w:spacing w:after="160" w:line="259" w:lineRule="auto"/>
              <w:ind w:left="270" w:right="51"/>
              <w:rPr>
                <w:rFonts w:ascii="Calibri" w:eastAsia="Calibri" w:hAnsi="Calibri" w:cs="Calibri"/>
                <w:color w:val="000000"/>
              </w:rPr>
            </w:pPr>
            <w:r w:rsidRPr="006C6124">
              <w:rPr>
                <w:rFonts w:ascii="Calibri" w:eastAsia="Calibri" w:hAnsi="Calibri" w:cs="Calibri"/>
                <w:color w:val="000000"/>
              </w:rPr>
              <w:t xml:space="preserve">comply with requirements regarding the provisions of informed choice for all applicants and eligible individuals in accordance with section 102(d) of the Rehabilitation Act. </w:t>
            </w:r>
          </w:p>
          <w:p w14:paraId="11750B6E" w14:textId="77777777" w:rsidR="00D0706C" w:rsidRPr="006C6124" w:rsidRDefault="00D0706C">
            <w:pPr>
              <w:numPr>
                <w:ilvl w:val="2"/>
                <w:numId w:val="29"/>
              </w:numPr>
              <w:spacing w:after="160" w:line="259" w:lineRule="auto"/>
              <w:ind w:left="270" w:right="51"/>
              <w:rPr>
                <w:rFonts w:ascii="Calibri" w:eastAsia="Calibri" w:hAnsi="Calibri" w:cs="Calibri"/>
                <w:color w:val="000000"/>
              </w:rPr>
            </w:pPr>
            <w:r w:rsidRPr="006C6124">
              <w:rPr>
                <w:rFonts w:ascii="Calibri" w:eastAsia="Calibri" w:hAnsi="Calibri" w:cs="Calibri"/>
                <w:color w:val="000000"/>
              </w:rPr>
              <w:lastRenderedPageBreak/>
              <w:t>provide vocational rehabilitation services to American Indians who are individuals with disabilities residing in the State, in accordance with section 101(a)(13) of the Rehabilitation Act.</w:t>
            </w:r>
          </w:p>
          <w:p w14:paraId="5244310F" w14:textId="77777777" w:rsidR="00D0706C" w:rsidRPr="006C6124" w:rsidRDefault="00D0706C">
            <w:pPr>
              <w:widowControl w:val="0"/>
              <w:numPr>
                <w:ilvl w:val="2"/>
                <w:numId w:val="29"/>
              </w:numPr>
              <w:autoSpaceDE w:val="0"/>
              <w:autoSpaceDN w:val="0"/>
              <w:adjustRightInd w:val="0"/>
              <w:spacing w:after="160" w:line="259" w:lineRule="auto"/>
              <w:ind w:left="270" w:right="51"/>
              <w:rPr>
                <w:rFonts w:ascii="Calibri" w:eastAsia="Calibri" w:hAnsi="Calibri" w:cs="Calibri"/>
                <w:color w:val="000000"/>
              </w:rPr>
            </w:pPr>
            <w:r w:rsidRPr="006C6124">
              <w:rPr>
                <w:rFonts w:ascii="Calibri" w:eastAsia="Calibri" w:hAnsi="Calibri" w:cs="Calibri"/>
                <w:color w:val="000000"/>
              </w:rPr>
              <w:t>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sections 101(a)(14) and 511 of the Rehabilitation Act.</w:t>
            </w:r>
          </w:p>
          <w:p w14:paraId="1D1AEBD6" w14:textId="77777777" w:rsidR="00D0706C" w:rsidRPr="006C6124" w:rsidRDefault="00D0706C" w:rsidP="00D0706C">
            <w:pPr>
              <w:widowControl w:val="0"/>
              <w:autoSpaceDE w:val="0"/>
              <w:autoSpaceDN w:val="0"/>
              <w:adjustRightInd w:val="0"/>
              <w:spacing w:after="5" w:line="250" w:lineRule="auto"/>
              <w:ind w:left="286" w:right="51" w:hanging="386"/>
              <w:rPr>
                <w:rFonts w:ascii="Calibri" w:eastAsia="Calibri" w:hAnsi="Calibri" w:cs="Calibri"/>
                <w:color w:val="000000"/>
              </w:rPr>
            </w:pPr>
            <w:r w:rsidRPr="006C6124">
              <w:rPr>
                <w:rFonts w:ascii="Calibri" w:eastAsia="Calibri" w:hAnsi="Calibri" w:cs="Calibri"/>
                <w:color w:val="000000"/>
              </w:rPr>
              <w:t>(i)  meet the requirements in sections 101(a)(17) and 103(b)(2) of the Rehabilitation Act if the State elects to construct, under special circumstances, facilities for community rehabilitation programs.</w:t>
            </w:r>
          </w:p>
          <w:p w14:paraId="2CD62CFC" w14:textId="77777777" w:rsidR="00D0706C" w:rsidRPr="006C6124" w:rsidRDefault="00D0706C" w:rsidP="00D0706C">
            <w:pPr>
              <w:widowControl w:val="0"/>
              <w:autoSpaceDE w:val="0"/>
              <w:autoSpaceDN w:val="0"/>
              <w:adjustRightInd w:val="0"/>
              <w:spacing w:after="5" w:line="250" w:lineRule="auto"/>
              <w:ind w:left="286" w:right="51" w:hanging="386"/>
              <w:rPr>
                <w:rFonts w:ascii="Calibri" w:eastAsia="Calibri" w:hAnsi="Calibri" w:cs="Calibri"/>
                <w:b/>
                <w:i/>
                <w:color w:val="000000"/>
              </w:rPr>
            </w:pPr>
          </w:p>
          <w:p w14:paraId="2F889AE3" w14:textId="77777777" w:rsidR="00D0706C" w:rsidRPr="006C6124" w:rsidRDefault="00D0706C" w:rsidP="00D0706C">
            <w:pPr>
              <w:widowControl w:val="0"/>
              <w:autoSpaceDE w:val="0"/>
              <w:autoSpaceDN w:val="0"/>
              <w:adjustRightInd w:val="0"/>
              <w:spacing w:after="5" w:line="250" w:lineRule="auto"/>
              <w:ind w:left="-67" w:right="51" w:hanging="10"/>
              <w:rPr>
                <w:rFonts w:ascii="Calibri" w:eastAsia="Calibri" w:hAnsi="Calibri" w:cs="Calibri"/>
                <w:color w:val="000000"/>
              </w:rPr>
            </w:pPr>
            <w:r w:rsidRPr="006C6124">
              <w:rPr>
                <w:rFonts w:ascii="Calibri" w:eastAsia="Calibri" w:hAnsi="Calibri" w:cs="Calibri"/>
                <w:color w:val="000000"/>
              </w:rPr>
              <w:t>(j) with respect to</w:t>
            </w:r>
            <w:r w:rsidRPr="006C6124">
              <w:rPr>
                <w:rFonts w:ascii="Calibri" w:eastAsia="Calibri" w:hAnsi="Calibri" w:cs="Calibri"/>
                <w:b/>
                <w:i/>
                <w:color w:val="000000"/>
              </w:rPr>
              <w:t xml:space="preserve"> </w:t>
            </w:r>
            <w:r w:rsidRPr="006C6124">
              <w:rPr>
                <w:rFonts w:ascii="Calibri" w:eastAsia="Calibri" w:hAnsi="Calibri" w:cs="Calibri"/>
                <w:color w:val="000000"/>
              </w:rPr>
              <w:t>students with disabilities, the State:</w:t>
            </w:r>
          </w:p>
          <w:p w14:paraId="26AABA0D" w14:textId="77777777" w:rsidR="00D0706C" w:rsidRPr="006C6124" w:rsidRDefault="00D0706C" w:rsidP="00D0706C">
            <w:pPr>
              <w:widowControl w:val="0"/>
              <w:tabs>
                <w:tab w:val="left" w:pos="1193"/>
              </w:tabs>
              <w:autoSpaceDE w:val="0"/>
              <w:autoSpaceDN w:val="0"/>
              <w:adjustRightInd w:val="0"/>
              <w:spacing w:after="5" w:line="250" w:lineRule="auto"/>
              <w:ind w:left="480" w:right="51" w:firstLine="706"/>
              <w:rPr>
                <w:rFonts w:ascii="Calibri" w:eastAsia="Calibri" w:hAnsi="Calibri" w:cs="Calibri"/>
                <w:color w:val="000000"/>
              </w:rPr>
            </w:pPr>
            <w:r w:rsidRPr="006C6124">
              <w:rPr>
                <w:rFonts w:ascii="Calibri" w:eastAsia="Calibri" w:hAnsi="Calibri" w:cs="Calibri"/>
                <w:color w:val="000000"/>
              </w:rPr>
              <w:t>(i) has developed and will implement,</w:t>
            </w:r>
          </w:p>
          <w:p w14:paraId="7EB0586A" w14:textId="77777777" w:rsidR="00D0706C" w:rsidRPr="006C6124" w:rsidRDefault="00D0706C" w:rsidP="00D0706C">
            <w:pPr>
              <w:widowControl w:val="0"/>
              <w:tabs>
                <w:tab w:val="left" w:pos="1193"/>
              </w:tabs>
              <w:autoSpaceDE w:val="0"/>
              <w:autoSpaceDN w:val="0"/>
              <w:adjustRightInd w:val="0"/>
              <w:spacing w:after="5" w:line="250" w:lineRule="auto"/>
              <w:ind w:left="1463" w:right="51" w:hanging="10"/>
              <w:rPr>
                <w:rFonts w:ascii="Calibri" w:eastAsia="Calibri" w:hAnsi="Calibri" w:cs="Calibri"/>
                <w:color w:val="000000"/>
              </w:rPr>
            </w:pPr>
            <w:r w:rsidRPr="006C6124">
              <w:rPr>
                <w:rFonts w:ascii="Calibri" w:eastAsia="Calibri" w:hAnsi="Calibri" w:cs="Calibri"/>
                <w:color w:val="000000"/>
              </w:rPr>
              <w:t>(A) strategies to address the needs identified in the assessments; and</w:t>
            </w:r>
          </w:p>
          <w:p w14:paraId="4E3CD697" w14:textId="77777777" w:rsidR="00D0706C" w:rsidRPr="006C6124" w:rsidRDefault="00D0706C" w:rsidP="00D0706C">
            <w:pPr>
              <w:widowControl w:val="0"/>
              <w:tabs>
                <w:tab w:val="left" w:pos="1193"/>
              </w:tabs>
              <w:autoSpaceDE w:val="0"/>
              <w:autoSpaceDN w:val="0"/>
              <w:adjustRightInd w:val="0"/>
              <w:spacing w:after="5" w:line="250" w:lineRule="auto"/>
              <w:ind w:left="1801" w:right="51" w:hanging="348"/>
              <w:rPr>
                <w:rFonts w:ascii="Calibri" w:eastAsia="Calibri" w:hAnsi="Calibri" w:cs="Calibri"/>
                <w:color w:val="000000"/>
              </w:rPr>
            </w:pPr>
            <w:r w:rsidRPr="006C6124">
              <w:rPr>
                <w:rFonts w:ascii="Calibri" w:eastAsia="Calibri" w:hAnsi="Calibri" w:cs="Calibri"/>
                <w:color w:val="000000"/>
              </w:rPr>
              <w:t>(B) strategies to achieve the goals and priorities identified by the State, to improve and expand vocational rehabilitation services for students with disabilities on a statewide basis; and</w:t>
            </w:r>
          </w:p>
          <w:p w14:paraId="0F0130E8" w14:textId="77777777" w:rsidR="00D0706C" w:rsidRPr="006C6124" w:rsidRDefault="00D0706C" w:rsidP="00D0706C">
            <w:pPr>
              <w:tabs>
                <w:tab w:val="left" w:pos="1193"/>
              </w:tabs>
              <w:spacing w:after="5" w:line="250" w:lineRule="auto"/>
              <w:ind w:left="1553" w:right="51" w:hanging="360"/>
              <w:rPr>
                <w:rFonts w:ascii="Calibri" w:eastAsia="Calibri" w:hAnsi="Calibri" w:cs="Calibri"/>
                <w:color w:val="000000"/>
              </w:rPr>
            </w:pPr>
            <w:r w:rsidRPr="006C6124">
              <w:rPr>
                <w:rFonts w:ascii="Calibri" w:eastAsia="Calibri" w:hAnsi="Calibri" w:cs="Calibri"/>
                <w:color w:val="000000"/>
              </w:rPr>
              <w:t>(ii) has developed and will implement strategies to provide pre-employment transition services (sections 101(a)(15),101(a)(25), and 113).</w:t>
            </w:r>
          </w:p>
          <w:p w14:paraId="3BBDE3C9" w14:textId="77777777" w:rsidR="00D0706C" w:rsidRPr="006C6124" w:rsidRDefault="00D0706C" w:rsidP="00D0706C">
            <w:pPr>
              <w:tabs>
                <w:tab w:val="left" w:pos="1193"/>
              </w:tabs>
              <w:spacing w:after="5" w:line="250" w:lineRule="auto"/>
              <w:ind w:left="1621" w:right="51" w:hanging="428"/>
              <w:rPr>
                <w:rFonts w:ascii="Calibri" w:eastAsia="Calibri" w:hAnsi="Calibri" w:cs="Calibri"/>
                <w:color w:val="000000"/>
              </w:rPr>
            </w:pPr>
            <w:r w:rsidRPr="006C6124">
              <w:rPr>
                <w:rFonts w:ascii="Calibri" w:eastAsia="Calibri" w:hAnsi="Calibri" w:cs="Calibri"/>
                <w:color w:val="000000"/>
              </w:rPr>
              <w:t>(iii) shall reserve not less than 15 percent of the allocated funds for the provision of pre-employment transition services; such funds shall not be used to pay for the administrative costs of providing pre-employment transition services.</w:t>
            </w:r>
          </w:p>
          <w:p w14:paraId="7ED87600" w14:textId="77777777" w:rsidR="00D0706C" w:rsidRPr="006C6124" w:rsidRDefault="00D0706C" w:rsidP="00D0706C">
            <w:pPr>
              <w:spacing w:after="5" w:line="250" w:lineRule="auto"/>
              <w:ind w:left="10" w:right="51" w:hanging="10"/>
              <w:rPr>
                <w:rFonts w:ascii="Calibri" w:eastAsia="Calibri" w:hAnsi="Calibri" w:cs="Calibri"/>
                <w:color w:val="000000"/>
              </w:rPr>
            </w:pPr>
          </w:p>
        </w:tc>
      </w:tr>
      <w:tr w:rsidR="00D0706C" w:rsidRPr="006C6124" w14:paraId="2F84EBE9" w14:textId="77777777">
        <w:tc>
          <w:tcPr>
            <w:tcW w:w="688" w:type="dxa"/>
            <w:shd w:val="clear" w:color="auto" w:fill="auto"/>
          </w:tcPr>
          <w:p w14:paraId="4C0BB7A4"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lastRenderedPageBreak/>
              <w:t>5.</w:t>
            </w:r>
          </w:p>
        </w:tc>
        <w:tc>
          <w:tcPr>
            <w:tcW w:w="10276" w:type="dxa"/>
            <w:shd w:val="clear" w:color="auto" w:fill="auto"/>
          </w:tcPr>
          <w:p w14:paraId="7890FB85" w14:textId="77777777" w:rsidR="00D0706C" w:rsidRPr="006C6124" w:rsidRDefault="00D0706C" w:rsidP="00D0706C">
            <w:pPr>
              <w:spacing w:after="5" w:line="250" w:lineRule="auto"/>
              <w:ind w:left="10" w:right="51" w:hanging="10"/>
              <w:rPr>
                <w:rFonts w:ascii="Calibri" w:eastAsia="Calibri" w:hAnsi="Calibri" w:cs="Calibri"/>
                <w:b/>
                <w:i/>
                <w:color w:val="000000"/>
              </w:rPr>
            </w:pPr>
            <w:r w:rsidRPr="006C6124">
              <w:rPr>
                <w:rFonts w:ascii="Calibri" w:eastAsia="Calibri" w:hAnsi="Calibri" w:cs="Calibri"/>
                <w:b/>
                <w:color w:val="000000"/>
              </w:rPr>
              <w:t>Program Administration for the Supported Employment Title VI Supplement</w:t>
            </w:r>
            <w:r w:rsidRPr="006C6124">
              <w:rPr>
                <w:rFonts w:ascii="Calibri" w:eastAsia="Cambria" w:hAnsi="Calibri" w:cs="Calibri"/>
                <w:color w:val="000000"/>
              </w:rPr>
              <w:t xml:space="preserve"> </w:t>
            </w:r>
            <w:r w:rsidRPr="006C6124">
              <w:rPr>
                <w:rFonts w:ascii="Calibri" w:eastAsia="Calibri" w:hAnsi="Calibri" w:cs="Calibri"/>
                <w:b/>
                <w:color w:val="000000"/>
              </w:rPr>
              <w:t>to the State plan</w:t>
            </w:r>
            <w:r w:rsidRPr="006C6124">
              <w:rPr>
                <w:rFonts w:ascii="Calibri" w:eastAsia="Calibri" w:hAnsi="Calibri" w:cs="Calibri"/>
                <w:b/>
                <w:iCs/>
                <w:color w:val="000000"/>
              </w:rPr>
              <w:t>:</w:t>
            </w:r>
          </w:p>
          <w:p w14:paraId="6D0E2190" w14:textId="77777777" w:rsidR="00D0706C" w:rsidRPr="006C6124" w:rsidRDefault="00D0706C">
            <w:pPr>
              <w:widowControl w:val="0"/>
              <w:numPr>
                <w:ilvl w:val="0"/>
                <w:numId w:val="31"/>
              </w:numPr>
              <w:autoSpaceDE w:val="0"/>
              <w:autoSpaceDN w:val="0"/>
              <w:adjustRightInd w:val="0"/>
              <w:spacing w:after="160" w:line="259" w:lineRule="auto"/>
              <w:ind w:right="51"/>
              <w:rPr>
                <w:rFonts w:ascii="Calibri" w:eastAsia="Calibri" w:hAnsi="Calibri" w:cs="Calibri"/>
                <w:b/>
                <w:color w:val="000000"/>
              </w:rPr>
            </w:pPr>
            <w:r w:rsidRPr="006C6124">
              <w:rPr>
                <w:rFonts w:ascii="Calibri" w:eastAsia="Calibri" w:hAnsi="Calibri" w:cs="Calibri"/>
                <w:color w:val="000000"/>
              </w:rPr>
              <w:t>The designated State unit assures that it will include in the VR services portion of the Unified or Combined State Plan all information required by section 606 of the Rehabilitation Act.</w:t>
            </w:r>
          </w:p>
          <w:p w14:paraId="522A8214" w14:textId="77777777" w:rsidR="00D0706C" w:rsidRPr="006C6124" w:rsidRDefault="00D0706C">
            <w:pPr>
              <w:numPr>
                <w:ilvl w:val="0"/>
                <w:numId w:val="31"/>
              </w:numPr>
              <w:spacing w:after="160" w:line="259" w:lineRule="auto"/>
              <w:ind w:right="51"/>
              <w:rPr>
                <w:rFonts w:ascii="Calibri" w:eastAsia="Calibri" w:hAnsi="Calibri" w:cs="Calibri"/>
                <w:b/>
                <w:color w:val="000000"/>
              </w:rPr>
            </w:pPr>
            <w:r w:rsidRPr="006C6124">
              <w:rPr>
                <w:rFonts w:ascii="Calibri" w:eastAsia="Calibri" w:hAnsi="Calibri" w:cs="Calibri"/>
                <w:color w:val="000000"/>
              </w:rPr>
              <w:t>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14:paraId="43CD2157" w14:textId="77777777" w:rsidR="00D0706C" w:rsidRPr="006C6124" w:rsidRDefault="00D0706C" w:rsidP="00D0706C">
            <w:pPr>
              <w:spacing w:after="5" w:line="250" w:lineRule="auto"/>
              <w:ind w:left="10" w:right="51" w:hanging="10"/>
              <w:rPr>
                <w:rFonts w:ascii="Calibri" w:eastAsia="Calibri" w:hAnsi="Calibri" w:cs="Calibri"/>
                <w:color w:val="000000"/>
              </w:rPr>
            </w:pPr>
          </w:p>
        </w:tc>
      </w:tr>
      <w:tr w:rsidR="00D0706C" w:rsidRPr="006C6124" w14:paraId="61B09CD9" w14:textId="77777777">
        <w:tc>
          <w:tcPr>
            <w:tcW w:w="688" w:type="dxa"/>
            <w:shd w:val="clear" w:color="auto" w:fill="auto"/>
          </w:tcPr>
          <w:p w14:paraId="195B134D" w14:textId="77777777" w:rsidR="00D0706C" w:rsidRPr="006C6124" w:rsidRDefault="00D0706C" w:rsidP="00D0706C">
            <w:pPr>
              <w:spacing w:after="5" w:line="250" w:lineRule="auto"/>
              <w:ind w:left="10" w:right="51" w:hanging="10"/>
              <w:rPr>
                <w:rFonts w:ascii="Calibri" w:eastAsia="Calibri" w:hAnsi="Calibri" w:cs="Calibri"/>
                <w:color w:val="000000"/>
              </w:rPr>
            </w:pPr>
          </w:p>
        </w:tc>
        <w:tc>
          <w:tcPr>
            <w:tcW w:w="10276" w:type="dxa"/>
            <w:shd w:val="clear" w:color="auto" w:fill="auto"/>
          </w:tcPr>
          <w:p w14:paraId="560039A7" w14:textId="77777777" w:rsidR="00D0706C" w:rsidRPr="006C6124" w:rsidRDefault="00D0706C" w:rsidP="00D0706C">
            <w:pPr>
              <w:spacing w:after="5" w:line="250" w:lineRule="auto"/>
              <w:ind w:left="10" w:right="51" w:hanging="10"/>
              <w:rPr>
                <w:rFonts w:ascii="Calibri" w:eastAsia="Calibri" w:hAnsi="Calibri" w:cs="Calibri"/>
                <w:color w:val="000000"/>
              </w:rPr>
            </w:pPr>
          </w:p>
        </w:tc>
      </w:tr>
      <w:tr w:rsidR="00D0706C" w:rsidRPr="006C6124" w14:paraId="53237330" w14:textId="77777777">
        <w:tc>
          <w:tcPr>
            <w:tcW w:w="688" w:type="dxa"/>
            <w:shd w:val="clear" w:color="auto" w:fill="auto"/>
          </w:tcPr>
          <w:p w14:paraId="4F7E2139"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t>6.</w:t>
            </w:r>
          </w:p>
        </w:tc>
        <w:tc>
          <w:tcPr>
            <w:tcW w:w="10276" w:type="dxa"/>
            <w:shd w:val="clear" w:color="auto" w:fill="auto"/>
          </w:tcPr>
          <w:p w14:paraId="34CD733B" w14:textId="77777777" w:rsidR="00D0706C" w:rsidRPr="006C6124" w:rsidRDefault="00D0706C" w:rsidP="00D0706C">
            <w:pPr>
              <w:shd w:val="clear" w:color="auto" w:fill="FFFFFF"/>
              <w:tabs>
                <w:tab w:val="left" w:pos="432"/>
              </w:tabs>
              <w:spacing w:after="5" w:line="250" w:lineRule="auto"/>
              <w:ind w:left="10" w:right="51" w:hanging="10"/>
              <w:contextualSpacing/>
              <w:rPr>
                <w:rFonts w:ascii="Calibri" w:eastAsia="Times New Roman" w:hAnsi="Calibri" w:cs="Calibri"/>
                <w:color w:val="000000"/>
              </w:rPr>
            </w:pPr>
            <w:r w:rsidRPr="006C6124">
              <w:rPr>
                <w:rFonts w:ascii="Calibri" w:eastAsia="Calibri" w:hAnsi="Calibri" w:cs="Calibri"/>
                <w:b/>
                <w:color w:val="000000"/>
              </w:rPr>
              <w:t>Financial Administration of the Supported Employment Program (Title VI):</w:t>
            </w:r>
            <w:r w:rsidRPr="006C6124">
              <w:rPr>
                <w:rFonts w:ascii="Calibri" w:eastAsia="Calibri" w:hAnsi="Calibri" w:cs="Calibri"/>
                <w:b/>
                <w:i/>
                <w:color w:val="000000"/>
              </w:rPr>
              <w:t xml:space="preserve"> </w:t>
            </w:r>
          </w:p>
          <w:p w14:paraId="48CA6B03" w14:textId="77777777" w:rsidR="00D0706C" w:rsidRPr="006C6124" w:rsidRDefault="00D0706C">
            <w:pPr>
              <w:numPr>
                <w:ilvl w:val="0"/>
                <w:numId w:val="32"/>
              </w:numPr>
              <w:shd w:val="clear" w:color="auto" w:fill="FFFFFF"/>
              <w:tabs>
                <w:tab w:val="left" w:pos="432"/>
              </w:tabs>
              <w:spacing w:after="160" w:line="259" w:lineRule="auto"/>
              <w:ind w:right="51"/>
              <w:contextualSpacing/>
              <w:rPr>
                <w:rFonts w:ascii="Calibri" w:eastAsia="Times New Roman" w:hAnsi="Calibri" w:cs="Calibri"/>
                <w:color w:val="000000"/>
              </w:rPr>
            </w:pPr>
            <w:r w:rsidRPr="006C6124">
              <w:rPr>
                <w:rFonts w:ascii="Calibri" w:eastAsia="Calibri" w:hAnsi="Calibri" w:cs="Calibri"/>
                <w:b/>
                <w:i/>
                <w:color w:val="000000"/>
              </w:rPr>
              <w:t xml:space="preserve"> </w:t>
            </w:r>
            <w:r w:rsidRPr="006C6124">
              <w:rPr>
                <w:rFonts w:ascii="Calibri" w:eastAsia="Times New Roman" w:hAnsi="Calibri" w:cs="Calibri"/>
                <w:color w:val="000000"/>
              </w:rPr>
              <w:t xml:space="preserve">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606(b)(7)(H) and (I) of the Rehabilitation  Act. </w:t>
            </w:r>
          </w:p>
          <w:p w14:paraId="18781DFF" w14:textId="77777777" w:rsidR="00D0706C" w:rsidRPr="006C6124" w:rsidRDefault="00D0706C">
            <w:pPr>
              <w:numPr>
                <w:ilvl w:val="0"/>
                <w:numId w:val="32"/>
              </w:numPr>
              <w:spacing w:after="160" w:line="259" w:lineRule="auto"/>
              <w:ind w:right="51"/>
              <w:contextualSpacing/>
              <w:rPr>
                <w:rFonts w:ascii="Calibri" w:eastAsia="Calibri" w:hAnsi="Calibri" w:cs="Calibri"/>
                <w:color w:val="000000"/>
              </w:rPr>
            </w:pPr>
            <w:r w:rsidRPr="006C6124">
              <w:rPr>
                <w:rFonts w:ascii="Calibri" w:eastAsia="Times New Roman" w:hAnsi="Calibri" w:cs="Calibri"/>
                <w:color w:val="000000"/>
              </w:rPr>
              <w:t xml:space="preserve">The designated State agency assures that it will </w:t>
            </w:r>
            <w:r w:rsidRPr="006C6124">
              <w:rPr>
                <w:rFonts w:ascii="Calibri" w:eastAsia="Calibri" w:hAnsi="Calibri" w:cs="Calibri"/>
                <w:color w:val="000000"/>
              </w:rPr>
              <w:t>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r>
      <w:tr w:rsidR="00D0706C" w:rsidRPr="006C6124" w14:paraId="6800735E" w14:textId="77777777">
        <w:tc>
          <w:tcPr>
            <w:tcW w:w="688" w:type="dxa"/>
            <w:shd w:val="clear" w:color="auto" w:fill="auto"/>
          </w:tcPr>
          <w:p w14:paraId="1206D115" w14:textId="77777777" w:rsidR="00D0706C" w:rsidRPr="006C6124" w:rsidRDefault="00D0706C" w:rsidP="00D0706C">
            <w:pPr>
              <w:spacing w:after="5" w:line="250" w:lineRule="auto"/>
              <w:ind w:left="10" w:right="51" w:hanging="10"/>
              <w:rPr>
                <w:rFonts w:ascii="Calibri" w:eastAsia="Calibri" w:hAnsi="Calibri" w:cs="Calibri"/>
                <w:color w:val="000000"/>
              </w:rPr>
            </w:pPr>
          </w:p>
        </w:tc>
        <w:tc>
          <w:tcPr>
            <w:tcW w:w="10276" w:type="dxa"/>
            <w:shd w:val="clear" w:color="auto" w:fill="auto"/>
          </w:tcPr>
          <w:p w14:paraId="2A8FC189" w14:textId="77777777" w:rsidR="00D0706C" w:rsidRPr="006C6124" w:rsidRDefault="00D0706C" w:rsidP="00D0706C">
            <w:pPr>
              <w:spacing w:after="5" w:line="250" w:lineRule="auto"/>
              <w:ind w:left="10" w:right="51" w:hanging="10"/>
              <w:rPr>
                <w:rFonts w:ascii="Calibri" w:eastAsia="Calibri" w:hAnsi="Calibri" w:cs="Calibri"/>
                <w:color w:val="000000"/>
              </w:rPr>
            </w:pPr>
          </w:p>
        </w:tc>
      </w:tr>
      <w:tr w:rsidR="00D0706C" w:rsidRPr="006C6124" w14:paraId="36F39E42" w14:textId="77777777">
        <w:tc>
          <w:tcPr>
            <w:tcW w:w="688" w:type="dxa"/>
            <w:shd w:val="clear" w:color="auto" w:fill="auto"/>
          </w:tcPr>
          <w:p w14:paraId="7456CBBD" w14:textId="77777777" w:rsidR="00D0706C" w:rsidRPr="006C6124" w:rsidRDefault="00D0706C" w:rsidP="00D0706C">
            <w:pPr>
              <w:spacing w:after="5" w:line="250" w:lineRule="auto"/>
              <w:ind w:left="10" w:right="51" w:hanging="10"/>
              <w:rPr>
                <w:rFonts w:ascii="Calibri" w:eastAsia="Calibri" w:hAnsi="Calibri" w:cs="Calibri"/>
                <w:color w:val="000000"/>
              </w:rPr>
            </w:pPr>
            <w:r w:rsidRPr="006C6124">
              <w:rPr>
                <w:rFonts w:ascii="Calibri" w:eastAsia="Calibri" w:hAnsi="Calibri" w:cs="Calibri"/>
                <w:color w:val="000000"/>
              </w:rPr>
              <w:t xml:space="preserve">7. </w:t>
            </w:r>
          </w:p>
        </w:tc>
        <w:tc>
          <w:tcPr>
            <w:tcW w:w="10276" w:type="dxa"/>
            <w:shd w:val="clear" w:color="auto" w:fill="auto"/>
          </w:tcPr>
          <w:p w14:paraId="40D315C2" w14:textId="77777777" w:rsidR="00D0706C" w:rsidRPr="006C6124" w:rsidRDefault="00D0706C" w:rsidP="00D0706C">
            <w:pPr>
              <w:shd w:val="clear" w:color="auto" w:fill="FFFFFF"/>
              <w:spacing w:after="5" w:line="250" w:lineRule="auto"/>
              <w:ind w:left="10" w:right="51" w:hanging="10"/>
              <w:contextualSpacing/>
              <w:rPr>
                <w:rFonts w:ascii="Calibri" w:eastAsia="Times New Roman" w:hAnsi="Calibri" w:cs="Calibri"/>
                <w:color w:val="000000"/>
              </w:rPr>
            </w:pPr>
            <w:r w:rsidRPr="006C6124">
              <w:rPr>
                <w:rFonts w:ascii="Calibri" w:eastAsia="Calibri" w:hAnsi="Calibri" w:cs="Calibri"/>
                <w:b/>
                <w:bCs/>
                <w:color w:val="000000"/>
              </w:rPr>
              <w:t>Provision of Supported Employment Services</w:t>
            </w:r>
            <w:r w:rsidRPr="006C6124">
              <w:rPr>
                <w:rFonts w:ascii="Calibri" w:eastAsia="Calibri" w:hAnsi="Calibri" w:cs="Calibri"/>
                <w:color w:val="000000"/>
              </w:rPr>
              <w:t xml:space="preserve">: </w:t>
            </w:r>
          </w:p>
          <w:p w14:paraId="7CF6964E" w14:textId="77777777" w:rsidR="00D0706C" w:rsidRPr="006C6124" w:rsidRDefault="00D0706C">
            <w:pPr>
              <w:numPr>
                <w:ilvl w:val="0"/>
                <w:numId w:val="33"/>
              </w:numPr>
              <w:shd w:val="clear" w:color="auto" w:fill="FFFFFF"/>
              <w:spacing w:after="160" w:line="259" w:lineRule="auto"/>
              <w:ind w:right="51"/>
              <w:contextualSpacing/>
              <w:rPr>
                <w:rFonts w:ascii="Calibri" w:eastAsia="Times New Roman" w:hAnsi="Calibri" w:cs="Calibri"/>
                <w:color w:val="000000"/>
              </w:rPr>
            </w:pPr>
            <w:r w:rsidRPr="006C6124">
              <w:rPr>
                <w:rFonts w:ascii="Calibri" w:eastAsia="Calibri" w:hAnsi="Calibri" w:cs="Calibri"/>
                <w:color w:val="000000"/>
              </w:rPr>
              <w:t xml:space="preserve">The designated State agency assures that it will provide supported employment services as defined in section 7(39) of the Rehabilitation Act. </w:t>
            </w:r>
          </w:p>
          <w:p w14:paraId="1AF11E95" w14:textId="77777777" w:rsidR="00D0706C" w:rsidRPr="006C6124" w:rsidRDefault="00D0706C">
            <w:pPr>
              <w:numPr>
                <w:ilvl w:val="0"/>
                <w:numId w:val="33"/>
              </w:numPr>
              <w:spacing w:after="160" w:line="259" w:lineRule="auto"/>
              <w:ind w:right="51"/>
              <w:rPr>
                <w:rFonts w:ascii="Calibri" w:eastAsia="Calibri" w:hAnsi="Calibri" w:cs="Calibri"/>
                <w:color w:val="000000"/>
              </w:rPr>
            </w:pPr>
            <w:r w:rsidRPr="006C6124">
              <w:rPr>
                <w:rFonts w:ascii="Calibri" w:eastAsia="Calibri" w:hAnsi="Calibri" w:cs="Calibri"/>
                <w:color w:val="000000"/>
              </w:rPr>
              <w:t xml:space="preserve">The designated State agency assures that  </w:t>
            </w:r>
          </w:p>
          <w:p w14:paraId="2F2EF181" w14:textId="77777777" w:rsidR="00D0706C" w:rsidRPr="006C6124" w:rsidRDefault="00D0706C" w:rsidP="00D0706C">
            <w:pPr>
              <w:tabs>
                <w:tab w:val="left" w:pos="882"/>
              </w:tabs>
              <w:spacing w:after="5" w:line="250" w:lineRule="auto"/>
              <w:ind w:left="864" w:right="51" w:hanging="10"/>
              <w:rPr>
                <w:rFonts w:ascii="Calibri" w:eastAsia="Calibri" w:hAnsi="Calibri" w:cs="Calibri"/>
                <w:color w:val="000000"/>
              </w:rPr>
            </w:pPr>
            <w:r w:rsidRPr="006C6124">
              <w:rPr>
                <w:rFonts w:ascii="Calibri" w:eastAsia="Calibri" w:hAnsi="Calibri" w:cs="Calibri"/>
                <w:color w:val="000000"/>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 an individualized plan for employment that meets the requirements of section 102(b) of the Rehabilitation Act , which is developed and updated with title I funds, in accordance with sections 102(b)(3)(F) and  606(b)(7)(C) and (E) of the Rehabilitation Act.</w:t>
            </w:r>
          </w:p>
        </w:tc>
      </w:tr>
    </w:tbl>
    <w:p w14:paraId="3B0B0CE3" w14:textId="77777777" w:rsidR="00D0706C" w:rsidRPr="006C6124" w:rsidRDefault="00D0706C" w:rsidP="00D0706C">
      <w:pPr>
        <w:spacing w:after="160" w:line="259" w:lineRule="auto"/>
        <w:ind w:left="10" w:right="51" w:hanging="10"/>
        <w:rPr>
          <w:rFonts w:ascii="Calibri" w:eastAsia="Cambria" w:hAnsi="Calibri" w:cs="Calibri"/>
          <w:color w:val="000000"/>
        </w:rPr>
      </w:pPr>
    </w:p>
    <w:p w14:paraId="31FA422C" w14:textId="77777777" w:rsidR="00D0706C" w:rsidRPr="006C6124" w:rsidRDefault="00D0706C" w:rsidP="00D0706C">
      <w:pPr>
        <w:spacing w:after="160" w:line="259" w:lineRule="auto"/>
        <w:rPr>
          <w:rFonts w:ascii="Calibri" w:eastAsia="Cambria" w:hAnsi="Calibri" w:cs="Calibri"/>
          <w:color w:val="000000"/>
        </w:rPr>
      </w:pPr>
      <w:r w:rsidRPr="006C6124">
        <w:rPr>
          <w:rFonts w:ascii="Calibri" w:eastAsia="Cambria" w:hAnsi="Calibri" w:cs="Calibri"/>
          <w:color w:val="000000"/>
        </w:rPr>
        <w:br w:type="page"/>
      </w:r>
    </w:p>
    <w:tbl>
      <w:tblPr>
        <w:tblStyle w:val="TableGrid1"/>
        <w:tblW w:w="10379" w:type="dxa"/>
        <w:tblInd w:w="-106" w:type="dxa"/>
        <w:tblCellMar>
          <w:top w:w="78" w:type="dxa"/>
          <w:left w:w="106" w:type="dxa"/>
          <w:bottom w:w="22" w:type="dxa"/>
          <w:right w:w="83" w:type="dxa"/>
        </w:tblCellMar>
        <w:tblLook w:val="04A0" w:firstRow="1" w:lastRow="0" w:firstColumn="1" w:lastColumn="0" w:noHBand="0" w:noVBand="1"/>
      </w:tblPr>
      <w:tblGrid>
        <w:gridCol w:w="2082"/>
        <w:gridCol w:w="2073"/>
        <w:gridCol w:w="2075"/>
        <w:gridCol w:w="2075"/>
        <w:gridCol w:w="2074"/>
      </w:tblGrid>
      <w:tr w:rsidR="00641A4C" w:rsidRPr="006C6124" w14:paraId="500E05B2" w14:textId="77777777">
        <w:trPr>
          <w:trHeight w:val="448"/>
        </w:trPr>
        <w:tc>
          <w:tcPr>
            <w:tcW w:w="2083" w:type="dxa"/>
            <w:vMerge w:val="restart"/>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6D35C101" w14:textId="77777777" w:rsidR="00161B49" w:rsidRPr="006C6124" w:rsidRDefault="00161B49" w:rsidP="00161B49">
            <w:pPr>
              <w:spacing w:line="259" w:lineRule="auto"/>
              <w:rPr>
                <w:rFonts w:ascii="Calibri" w:eastAsia="Cambria" w:hAnsi="Calibri" w:cs="Calibri"/>
                <w:color w:val="000000"/>
              </w:rPr>
            </w:pPr>
          </w:p>
        </w:tc>
        <w:tc>
          <w:tcPr>
            <w:tcW w:w="8297" w:type="dxa"/>
            <w:gridSpan w:val="4"/>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4674A034" w14:textId="77777777" w:rsidR="00161B49" w:rsidRDefault="00161B49" w:rsidP="00161B49">
            <w:pPr>
              <w:spacing w:line="259" w:lineRule="auto"/>
              <w:ind w:right="21"/>
              <w:jc w:val="center"/>
              <w:rPr>
                <w:rFonts w:ascii="Calibri" w:eastAsia="Times New Roman" w:hAnsi="Calibri" w:cs="Calibri"/>
                <w:color w:val="000000"/>
              </w:rPr>
            </w:pPr>
            <w:r w:rsidRPr="006C6124">
              <w:rPr>
                <w:rFonts w:ascii="Calibri" w:eastAsia="Times New Roman" w:hAnsi="Calibri" w:cs="Calibri"/>
                <w:color w:val="000000"/>
              </w:rPr>
              <w:t xml:space="preserve">Vocational Rehabilitation Program </w:t>
            </w:r>
          </w:p>
          <w:p w14:paraId="423A424B" w14:textId="795C6F55" w:rsidR="00246F81" w:rsidRPr="006C6124" w:rsidRDefault="001A6F19" w:rsidP="00161B49">
            <w:pPr>
              <w:spacing w:line="259" w:lineRule="auto"/>
              <w:ind w:right="21"/>
              <w:jc w:val="center"/>
              <w:rPr>
                <w:rFonts w:ascii="Calibri" w:eastAsia="Cambria" w:hAnsi="Calibri" w:cs="Calibri"/>
                <w:color w:val="000000"/>
              </w:rPr>
            </w:pPr>
            <w:r>
              <w:rPr>
                <w:rFonts w:ascii="Calibri" w:eastAsia="Times New Roman" w:hAnsi="Calibri" w:cs="Calibri"/>
                <w:color w:val="000000"/>
              </w:rPr>
              <w:t>Will</w:t>
            </w:r>
            <w:r w:rsidR="00593855">
              <w:rPr>
                <w:rFonts w:ascii="Calibri" w:eastAsia="Times New Roman" w:hAnsi="Calibri" w:cs="Calibri"/>
                <w:color w:val="000000"/>
              </w:rPr>
              <w:t xml:space="preserve"> </w:t>
            </w:r>
            <w:r w:rsidR="003F746D">
              <w:rPr>
                <w:rFonts w:ascii="Calibri" w:eastAsia="Times New Roman" w:hAnsi="Calibri" w:cs="Calibri"/>
                <w:color w:val="000000"/>
              </w:rPr>
              <w:t xml:space="preserve">be </w:t>
            </w:r>
            <w:r w:rsidR="00593855">
              <w:rPr>
                <w:rFonts w:ascii="Calibri" w:eastAsia="Times New Roman" w:hAnsi="Calibri" w:cs="Calibri"/>
                <w:color w:val="000000"/>
              </w:rPr>
              <w:t>Complete</w:t>
            </w:r>
            <w:r w:rsidR="003F746D">
              <w:rPr>
                <w:rFonts w:ascii="Calibri" w:eastAsia="Times New Roman" w:hAnsi="Calibri" w:cs="Calibri"/>
                <w:color w:val="000000"/>
              </w:rPr>
              <w:t>d</w:t>
            </w:r>
            <w:r w:rsidR="00593855">
              <w:rPr>
                <w:rFonts w:ascii="Calibri" w:eastAsia="Times New Roman" w:hAnsi="Calibri" w:cs="Calibri"/>
                <w:color w:val="000000"/>
              </w:rPr>
              <w:t xml:space="preserve"> </w:t>
            </w:r>
            <w:r w:rsidR="003F746D">
              <w:rPr>
                <w:rFonts w:ascii="Calibri" w:eastAsia="Times New Roman" w:hAnsi="Calibri" w:cs="Calibri"/>
                <w:color w:val="000000"/>
              </w:rPr>
              <w:t xml:space="preserve">in </w:t>
            </w:r>
            <w:r w:rsidR="00593855">
              <w:rPr>
                <w:rFonts w:ascii="Calibri" w:eastAsia="Times New Roman" w:hAnsi="Calibri" w:cs="Calibri"/>
                <w:color w:val="000000"/>
              </w:rPr>
              <w:t xml:space="preserve">May 2024 </w:t>
            </w:r>
            <w:r w:rsidR="003F746D">
              <w:rPr>
                <w:rFonts w:ascii="Calibri" w:eastAsia="Times New Roman" w:hAnsi="Calibri" w:cs="Calibri"/>
                <w:color w:val="000000"/>
              </w:rPr>
              <w:t xml:space="preserve">after </w:t>
            </w:r>
            <w:r w:rsidR="00046113">
              <w:rPr>
                <w:rFonts w:ascii="Calibri" w:eastAsia="Times New Roman" w:hAnsi="Calibri" w:cs="Calibri"/>
                <w:color w:val="000000"/>
              </w:rPr>
              <w:t xml:space="preserve">Negotiations of </w:t>
            </w:r>
            <w:r w:rsidR="003F746D">
              <w:rPr>
                <w:rFonts w:ascii="Calibri" w:eastAsia="Times New Roman" w:hAnsi="Calibri" w:cs="Calibri"/>
                <w:color w:val="000000"/>
              </w:rPr>
              <w:t>Performance</w:t>
            </w:r>
            <w:r w:rsidR="00046113">
              <w:rPr>
                <w:rFonts w:ascii="Calibri" w:eastAsia="Times New Roman" w:hAnsi="Calibri" w:cs="Calibri"/>
                <w:color w:val="000000"/>
              </w:rPr>
              <w:t xml:space="preserve"> Indicators</w:t>
            </w:r>
            <w:r w:rsidR="00593855">
              <w:rPr>
                <w:rFonts w:ascii="Calibri" w:eastAsia="Times New Roman" w:hAnsi="Calibri" w:cs="Calibri"/>
                <w:color w:val="000000"/>
              </w:rPr>
              <w:t xml:space="preserve"> </w:t>
            </w:r>
            <w:r w:rsidR="003F746D">
              <w:rPr>
                <w:rFonts w:ascii="Calibri" w:eastAsia="Times New Roman" w:hAnsi="Calibri" w:cs="Calibri"/>
                <w:color w:val="000000"/>
              </w:rPr>
              <w:t>w</w:t>
            </w:r>
            <w:r w:rsidR="00593855">
              <w:rPr>
                <w:rFonts w:ascii="Calibri" w:eastAsia="Times New Roman" w:hAnsi="Calibri" w:cs="Calibri"/>
                <w:color w:val="000000"/>
              </w:rPr>
              <w:t xml:space="preserve">ith </w:t>
            </w:r>
            <w:r w:rsidR="00EE176B">
              <w:rPr>
                <w:rFonts w:ascii="Calibri" w:eastAsia="Times New Roman" w:hAnsi="Calibri" w:cs="Calibri"/>
                <w:color w:val="000000"/>
              </w:rPr>
              <w:t>The Rehabilitation Services Administration</w:t>
            </w:r>
            <w:r w:rsidR="003F746D">
              <w:rPr>
                <w:rFonts w:ascii="Calibri" w:eastAsia="Times New Roman" w:hAnsi="Calibri" w:cs="Calibri"/>
                <w:color w:val="000000"/>
              </w:rPr>
              <w:t xml:space="preserve"> (RSA)</w:t>
            </w:r>
          </w:p>
        </w:tc>
      </w:tr>
      <w:tr w:rsidR="00AE05F6" w:rsidRPr="006C6124" w14:paraId="72F03B92" w14:textId="77777777">
        <w:trPr>
          <w:trHeight w:val="450"/>
        </w:trPr>
        <w:tc>
          <w:tcPr>
            <w:tcW w:w="0" w:type="auto"/>
            <w:vMerge/>
          </w:tcPr>
          <w:p w14:paraId="44FD5E52" w14:textId="77777777" w:rsidR="00161B49" w:rsidRPr="006C6124" w:rsidRDefault="00161B49" w:rsidP="00161B49">
            <w:pPr>
              <w:spacing w:after="160" w:line="259" w:lineRule="auto"/>
              <w:rPr>
                <w:rFonts w:ascii="Calibri" w:eastAsia="Cambria" w:hAnsi="Calibri" w:cs="Calibri"/>
                <w:color w:val="000000"/>
              </w:rPr>
            </w:pP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471855C4" w14:textId="77777777" w:rsidR="00161B49" w:rsidRPr="006C6124" w:rsidRDefault="00161B49" w:rsidP="00161B49">
            <w:pPr>
              <w:spacing w:line="259" w:lineRule="auto"/>
              <w:ind w:right="25"/>
              <w:jc w:val="center"/>
              <w:rPr>
                <w:rFonts w:ascii="Calibri" w:eastAsia="Cambria" w:hAnsi="Calibri" w:cs="Calibri"/>
                <w:color w:val="000000"/>
              </w:rPr>
            </w:pPr>
            <w:r w:rsidRPr="006C6124">
              <w:rPr>
                <w:rFonts w:ascii="Calibri" w:eastAsia="Times New Roman" w:hAnsi="Calibri" w:cs="Calibri"/>
                <w:color w:val="000000"/>
              </w:rPr>
              <w:t xml:space="preserve">Program Year:  </w:t>
            </w:r>
          </w:p>
        </w:tc>
        <w:tc>
          <w:tcPr>
            <w:tcW w:w="4148" w:type="dxa"/>
            <w:gridSpan w:val="2"/>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0B9F2236" w14:textId="77777777" w:rsidR="00161B49" w:rsidRPr="006C6124" w:rsidRDefault="00161B49" w:rsidP="00161B49">
            <w:pPr>
              <w:spacing w:line="259" w:lineRule="auto"/>
              <w:ind w:right="23"/>
              <w:jc w:val="center"/>
              <w:rPr>
                <w:rFonts w:ascii="Calibri" w:eastAsia="Cambria" w:hAnsi="Calibri" w:cs="Calibri"/>
                <w:color w:val="000000"/>
              </w:rPr>
            </w:pPr>
            <w:r w:rsidRPr="006C6124">
              <w:rPr>
                <w:rFonts w:ascii="Calibri" w:eastAsia="Times New Roman" w:hAnsi="Calibri" w:cs="Calibri"/>
                <w:color w:val="000000"/>
              </w:rPr>
              <w:t xml:space="preserve">Program Year:  </w:t>
            </w:r>
          </w:p>
        </w:tc>
      </w:tr>
      <w:tr w:rsidR="00641A4C" w:rsidRPr="006C6124" w14:paraId="327504AA" w14:textId="77777777">
        <w:trPr>
          <w:trHeight w:val="640"/>
        </w:trPr>
        <w:tc>
          <w:tcPr>
            <w:tcW w:w="0" w:type="auto"/>
            <w:vMerge/>
          </w:tcPr>
          <w:p w14:paraId="052A3499" w14:textId="77777777" w:rsidR="00161B49" w:rsidRPr="006C6124" w:rsidRDefault="00161B49" w:rsidP="00161B49">
            <w:pPr>
              <w:spacing w:after="160" w:line="259" w:lineRule="auto"/>
              <w:rPr>
                <w:rFonts w:ascii="Calibri" w:eastAsia="Cambria" w:hAnsi="Calibri" w:cs="Calibri"/>
                <w:color w:val="000000"/>
              </w:rP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3F307C11" w14:textId="77777777" w:rsidR="00161B49" w:rsidRPr="006C6124" w:rsidRDefault="00161B49" w:rsidP="00161B49">
            <w:pPr>
              <w:spacing w:line="259" w:lineRule="auto"/>
              <w:ind w:right="24"/>
              <w:jc w:val="center"/>
              <w:rPr>
                <w:rFonts w:ascii="Calibri" w:eastAsia="Cambria" w:hAnsi="Calibri" w:cs="Calibri"/>
                <w:color w:val="000000"/>
              </w:rPr>
            </w:pPr>
            <w:r w:rsidRPr="006C6124">
              <w:rPr>
                <w:rFonts w:ascii="Calibri" w:eastAsia="Times New Roman" w:hAnsi="Calibri" w:cs="Calibri"/>
                <w:color w:val="000000"/>
              </w:rPr>
              <w:t xml:space="preserve">Expected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421471A4" w14:textId="77777777" w:rsidR="00161B49" w:rsidRPr="006C6124" w:rsidRDefault="00161B49" w:rsidP="00161B49">
            <w:pPr>
              <w:spacing w:line="259" w:lineRule="auto"/>
              <w:ind w:right="125"/>
              <w:jc w:val="right"/>
              <w:rPr>
                <w:rFonts w:ascii="Calibri" w:eastAsia="Cambria" w:hAnsi="Calibri" w:cs="Calibri"/>
                <w:color w:val="000000"/>
              </w:rPr>
            </w:pPr>
            <w:r w:rsidRPr="006C6124">
              <w:rPr>
                <w:rFonts w:ascii="Calibri" w:eastAsia="Times New Roman" w:hAnsi="Calibri" w:cs="Calibri"/>
                <w:color w:val="000000"/>
              </w:rPr>
              <w:t xml:space="preserve">Negotiated Level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255875C6" w14:textId="77777777" w:rsidR="00161B49" w:rsidRPr="006C6124" w:rsidRDefault="00161B49" w:rsidP="00161B49">
            <w:pPr>
              <w:spacing w:line="259" w:lineRule="auto"/>
              <w:ind w:right="23"/>
              <w:jc w:val="center"/>
              <w:rPr>
                <w:rFonts w:ascii="Calibri" w:eastAsia="Cambria" w:hAnsi="Calibri" w:cs="Calibri"/>
                <w:color w:val="000000"/>
              </w:rPr>
            </w:pPr>
            <w:r w:rsidRPr="006C6124">
              <w:rPr>
                <w:rFonts w:ascii="Calibri" w:eastAsia="Times New Roman" w:hAnsi="Calibri" w:cs="Calibri"/>
                <w:color w:val="000000"/>
              </w:rPr>
              <w:t xml:space="preserve">Expected Level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vAlign w:val="bottom"/>
          </w:tcPr>
          <w:p w14:paraId="4DAAF490" w14:textId="77777777" w:rsidR="00161B49" w:rsidRPr="006C6124" w:rsidRDefault="00161B49" w:rsidP="00161B49">
            <w:pPr>
              <w:spacing w:line="259" w:lineRule="auto"/>
              <w:ind w:right="124"/>
              <w:jc w:val="right"/>
              <w:rPr>
                <w:rFonts w:ascii="Calibri" w:eastAsia="Cambria" w:hAnsi="Calibri" w:cs="Calibri"/>
                <w:color w:val="000000"/>
              </w:rPr>
            </w:pPr>
            <w:r w:rsidRPr="006C6124">
              <w:rPr>
                <w:rFonts w:ascii="Calibri" w:eastAsia="Times New Roman" w:hAnsi="Calibri" w:cs="Calibri"/>
                <w:color w:val="000000"/>
              </w:rPr>
              <w:t xml:space="preserve">Negotiated Level  </w:t>
            </w:r>
          </w:p>
        </w:tc>
      </w:tr>
      <w:tr w:rsidR="00842703" w:rsidRPr="006C6124" w14:paraId="299F1D73" w14:textId="77777777">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E40CB1E" w14:textId="77777777" w:rsidR="00161B49" w:rsidRPr="006C6124" w:rsidRDefault="00161B49" w:rsidP="00161B49">
            <w:pPr>
              <w:spacing w:line="259" w:lineRule="auto"/>
              <w:ind w:right="27"/>
              <w:jc w:val="center"/>
              <w:rPr>
                <w:rFonts w:ascii="Calibri" w:eastAsia="Cambria" w:hAnsi="Calibri" w:cs="Calibri"/>
                <w:color w:val="000000"/>
              </w:rPr>
            </w:pPr>
            <w:r w:rsidRPr="006C6124">
              <w:rPr>
                <w:rFonts w:ascii="Calibri" w:eastAsia="Times New Roman" w:hAnsi="Calibri" w:cs="Calibri"/>
                <w:color w:val="000000"/>
              </w:rPr>
              <w:t xml:space="preserve">Employment </w:t>
            </w:r>
          </w:p>
          <w:p w14:paraId="26BD242D" w14:textId="77777777" w:rsidR="00161B49" w:rsidRPr="006C6124" w:rsidRDefault="00161B49" w:rsidP="00161B49">
            <w:pPr>
              <w:spacing w:line="259" w:lineRule="auto"/>
              <w:jc w:val="center"/>
              <w:rPr>
                <w:rFonts w:ascii="Calibri" w:eastAsia="Cambria" w:hAnsi="Calibri" w:cs="Calibri"/>
                <w:color w:val="000000"/>
              </w:rPr>
            </w:pPr>
            <w:r w:rsidRPr="006C6124">
              <w:rPr>
                <w:rFonts w:ascii="Calibri" w:eastAsia="Times New Roman" w:hAnsi="Calibri" w:cs="Calibri"/>
                <w:color w:val="000000"/>
              </w:rPr>
              <w:t>(Second Quarter after Exit)</w:t>
            </w:r>
            <w:r w:rsidRPr="006C6124">
              <w:rPr>
                <w:rFonts w:ascii="Calibri" w:eastAsia="Times New Roman" w:hAnsi="Calibri" w:cs="Calibri"/>
                <w:color w:val="000000"/>
                <w:vertAlign w:val="superscript"/>
              </w:rPr>
              <w:t xml:space="preserve"> 22</w:t>
            </w:r>
            <w:r w:rsidRPr="006C6124">
              <w:rPr>
                <w:rFonts w:ascii="Calibri" w:eastAsia="Times New Roman" w:hAnsi="Calibri" w:cs="Calibri"/>
                <w:color w:val="000000"/>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4121A9DD" w14:textId="77777777" w:rsidR="00161B49" w:rsidRPr="006C6124" w:rsidRDefault="00161B49" w:rsidP="00161B49">
            <w:pPr>
              <w:spacing w:line="259" w:lineRule="auto"/>
              <w:ind w:right="24"/>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437E631E" w14:textId="77777777" w:rsidR="00161B49" w:rsidRPr="006C6124" w:rsidRDefault="00161B49" w:rsidP="00161B49">
            <w:pPr>
              <w:spacing w:line="259" w:lineRule="auto"/>
              <w:ind w:right="22"/>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62AD5BF3" w14:textId="77777777" w:rsidR="00161B49" w:rsidRPr="006C6124" w:rsidRDefault="00161B49" w:rsidP="00161B49">
            <w:pPr>
              <w:spacing w:line="259" w:lineRule="auto"/>
              <w:ind w:right="22"/>
              <w:jc w:val="center"/>
              <w:rPr>
                <w:rFonts w:ascii="Calibri" w:eastAsia="Cambria" w:hAnsi="Calibri" w:cs="Calibri"/>
                <w:color w:val="000000"/>
              </w:rP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FAD6241" w14:textId="77777777" w:rsidR="00161B49" w:rsidRPr="006C6124" w:rsidRDefault="00161B49" w:rsidP="00161B49">
            <w:pPr>
              <w:spacing w:line="259" w:lineRule="auto"/>
              <w:ind w:right="21"/>
              <w:jc w:val="center"/>
              <w:rPr>
                <w:rFonts w:ascii="Calibri" w:eastAsia="Cambria" w:hAnsi="Calibri" w:cs="Calibri"/>
                <w:color w:val="000000"/>
              </w:rPr>
            </w:pPr>
          </w:p>
        </w:tc>
      </w:tr>
      <w:tr w:rsidR="00842703" w:rsidRPr="006C6124" w14:paraId="68E8AD73" w14:textId="77777777">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58398357" w14:textId="77777777" w:rsidR="00161B49" w:rsidRPr="006C6124" w:rsidRDefault="00161B49" w:rsidP="00161B49">
            <w:pPr>
              <w:spacing w:line="259" w:lineRule="auto"/>
              <w:ind w:right="27"/>
              <w:jc w:val="center"/>
              <w:rPr>
                <w:rFonts w:ascii="Calibri" w:eastAsia="Cambria" w:hAnsi="Calibri" w:cs="Calibri"/>
                <w:color w:val="000000"/>
              </w:rPr>
            </w:pPr>
            <w:r w:rsidRPr="006C6124">
              <w:rPr>
                <w:rFonts w:ascii="Calibri" w:eastAsia="Times New Roman" w:hAnsi="Calibri" w:cs="Calibri"/>
                <w:color w:val="000000"/>
              </w:rPr>
              <w:t xml:space="preserve">Employment </w:t>
            </w:r>
          </w:p>
          <w:p w14:paraId="31709425" w14:textId="77777777" w:rsidR="00161B49" w:rsidRPr="006C6124" w:rsidRDefault="00161B49" w:rsidP="00161B49">
            <w:pPr>
              <w:spacing w:line="259" w:lineRule="auto"/>
              <w:jc w:val="center"/>
              <w:rPr>
                <w:rFonts w:ascii="Calibri" w:eastAsia="Cambria" w:hAnsi="Calibri" w:cs="Calibri"/>
                <w:color w:val="000000"/>
              </w:rPr>
            </w:pPr>
            <w:r w:rsidRPr="006C6124">
              <w:rPr>
                <w:rFonts w:ascii="Calibri" w:eastAsia="Times New Roman" w:hAnsi="Calibri" w:cs="Calibri"/>
                <w:color w:val="000000"/>
              </w:rPr>
              <w:t>(Fourth Quarter after Exit)</w:t>
            </w:r>
            <w:r w:rsidRPr="006C6124">
              <w:rPr>
                <w:rFonts w:ascii="Calibri" w:eastAsia="Times New Roman" w:hAnsi="Calibri" w:cs="Calibri"/>
                <w:color w:val="000000"/>
                <w:vertAlign w:val="superscript"/>
              </w:rPr>
              <w:t xml:space="preserve"> 22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46F02CBA" w14:textId="77777777" w:rsidR="00161B49" w:rsidRPr="006C6124" w:rsidRDefault="00161B49" w:rsidP="00161B49">
            <w:pPr>
              <w:spacing w:line="259" w:lineRule="auto"/>
              <w:ind w:right="24"/>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06F0BAE2" w14:textId="77777777" w:rsidR="00161B49" w:rsidRPr="006C6124" w:rsidRDefault="00161B49" w:rsidP="00161B49">
            <w:pPr>
              <w:spacing w:line="259" w:lineRule="auto"/>
              <w:ind w:right="22"/>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5C3E2560" w14:textId="77777777" w:rsidR="00161B49" w:rsidRPr="006C6124" w:rsidRDefault="00161B49" w:rsidP="00161B49">
            <w:pPr>
              <w:spacing w:line="259" w:lineRule="auto"/>
              <w:ind w:right="22"/>
              <w:jc w:val="center"/>
              <w:rPr>
                <w:rFonts w:ascii="Calibri" w:eastAsia="Cambria" w:hAnsi="Calibri" w:cs="Calibri"/>
                <w:color w:val="000000"/>
              </w:rP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572CB355" w14:textId="77777777" w:rsidR="00161B49" w:rsidRPr="006C6124" w:rsidRDefault="00161B49" w:rsidP="00161B49">
            <w:pPr>
              <w:spacing w:line="259" w:lineRule="auto"/>
              <w:ind w:right="21"/>
              <w:jc w:val="center"/>
              <w:rPr>
                <w:rFonts w:ascii="Calibri" w:eastAsia="Cambria" w:hAnsi="Calibri" w:cs="Calibri"/>
                <w:color w:val="000000"/>
              </w:rPr>
            </w:pPr>
          </w:p>
        </w:tc>
      </w:tr>
      <w:tr w:rsidR="00842703" w:rsidRPr="006C6124" w14:paraId="12D3293F" w14:textId="77777777">
        <w:trPr>
          <w:trHeight w:val="873"/>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153125B" w14:textId="77777777" w:rsidR="00161B49" w:rsidRPr="006C6124" w:rsidRDefault="00161B49" w:rsidP="00161B49">
            <w:pPr>
              <w:spacing w:line="259" w:lineRule="auto"/>
              <w:ind w:right="27"/>
              <w:jc w:val="center"/>
              <w:rPr>
                <w:rFonts w:ascii="Calibri" w:eastAsia="Cambria" w:hAnsi="Calibri" w:cs="Calibri"/>
                <w:color w:val="000000"/>
              </w:rPr>
            </w:pPr>
            <w:r w:rsidRPr="006C6124">
              <w:rPr>
                <w:rFonts w:ascii="Calibri" w:eastAsia="Times New Roman" w:hAnsi="Calibri" w:cs="Calibri"/>
                <w:color w:val="000000"/>
              </w:rPr>
              <w:t xml:space="preserve">Median Earnings </w:t>
            </w:r>
          </w:p>
          <w:p w14:paraId="2AF41762" w14:textId="756B23F7" w:rsidR="00161B49" w:rsidRPr="006C6124" w:rsidRDefault="00161B49" w:rsidP="00161B49">
            <w:pPr>
              <w:spacing w:line="259" w:lineRule="auto"/>
              <w:ind w:left="368" w:hanging="224"/>
              <w:jc w:val="both"/>
              <w:rPr>
                <w:rFonts w:ascii="Calibri" w:eastAsia="Cambria" w:hAnsi="Calibri" w:cs="Calibri"/>
                <w:color w:val="000000"/>
              </w:rPr>
            </w:pPr>
            <w:r w:rsidRPr="006C6124">
              <w:rPr>
                <w:rFonts w:ascii="Calibri" w:eastAsia="Times New Roman" w:hAnsi="Calibri" w:cs="Calibri"/>
                <w:color w:val="000000"/>
              </w:rPr>
              <w:t>(Second</w:t>
            </w:r>
            <w:r w:rsidR="00046113">
              <w:rPr>
                <w:rFonts w:ascii="Calibri" w:eastAsia="Times New Roman" w:hAnsi="Calibri" w:cs="Calibri"/>
                <w:color w:val="000000"/>
              </w:rPr>
              <w:t xml:space="preserve"> </w:t>
            </w:r>
            <w:r w:rsidRPr="006C6124">
              <w:rPr>
                <w:rFonts w:ascii="Calibri" w:eastAsia="Times New Roman" w:hAnsi="Calibri" w:cs="Calibri"/>
                <w:color w:val="000000"/>
              </w:rPr>
              <w:t xml:space="preserve">Quarter after Exit </w:t>
            </w:r>
            <w:r w:rsidRPr="006C6124">
              <w:rPr>
                <w:rFonts w:ascii="Calibri" w:eastAsia="Times New Roman" w:hAnsi="Calibri" w:cs="Calibri"/>
                <w:color w:val="000000"/>
                <w:vertAlign w:val="superscript"/>
              </w:rPr>
              <w:footnoteReference w:id="8"/>
            </w:r>
            <w:r w:rsidRPr="006C6124">
              <w:rPr>
                <w:rFonts w:ascii="Calibri" w:eastAsia="Times New Roman" w:hAnsi="Calibri" w:cs="Calibri"/>
                <w:color w:val="000000"/>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7131DAC6" w14:textId="77777777" w:rsidR="00161B49" w:rsidRPr="006C6124" w:rsidRDefault="00161B49" w:rsidP="00161B49">
            <w:pPr>
              <w:spacing w:line="259" w:lineRule="auto"/>
              <w:ind w:right="24"/>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0A2C568" w14:textId="77777777" w:rsidR="00161B49" w:rsidRPr="006C6124" w:rsidRDefault="00161B49" w:rsidP="00161B49">
            <w:pPr>
              <w:spacing w:line="259" w:lineRule="auto"/>
              <w:ind w:right="22"/>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F7BFAC7" w14:textId="77777777" w:rsidR="00161B49" w:rsidRPr="006C6124" w:rsidRDefault="00161B49" w:rsidP="00161B49">
            <w:pPr>
              <w:spacing w:line="259" w:lineRule="auto"/>
              <w:ind w:right="22"/>
              <w:jc w:val="center"/>
              <w:rPr>
                <w:rFonts w:ascii="Calibri" w:eastAsia="Cambria" w:hAnsi="Calibri" w:cs="Calibri"/>
                <w:color w:val="000000"/>
              </w:rP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72506F85" w14:textId="77777777" w:rsidR="00161B49" w:rsidRPr="006C6124" w:rsidRDefault="00161B49" w:rsidP="00161B49">
            <w:pPr>
              <w:spacing w:line="259" w:lineRule="auto"/>
              <w:ind w:right="21"/>
              <w:jc w:val="center"/>
              <w:rPr>
                <w:rFonts w:ascii="Calibri" w:eastAsia="Cambria" w:hAnsi="Calibri" w:cs="Calibri"/>
                <w:color w:val="000000"/>
              </w:rPr>
            </w:pPr>
          </w:p>
        </w:tc>
      </w:tr>
      <w:tr w:rsidR="00842703" w:rsidRPr="006C6124" w14:paraId="1E32F8FD" w14:textId="77777777">
        <w:trPr>
          <w:trHeight w:val="597"/>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49E206F7" w14:textId="77777777" w:rsidR="00161B49" w:rsidRPr="006C6124" w:rsidRDefault="00161B49" w:rsidP="00161B49">
            <w:pPr>
              <w:spacing w:line="259" w:lineRule="auto"/>
              <w:jc w:val="center"/>
              <w:rPr>
                <w:rFonts w:ascii="Calibri" w:eastAsia="Cambria" w:hAnsi="Calibri" w:cs="Calibri"/>
                <w:color w:val="000000"/>
              </w:rPr>
            </w:pPr>
            <w:r w:rsidRPr="006C6124">
              <w:rPr>
                <w:rFonts w:ascii="Calibri" w:eastAsia="Times New Roman" w:hAnsi="Calibri" w:cs="Calibri"/>
                <w:color w:val="000000"/>
              </w:rPr>
              <w:t xml:space="preserve">Credential Attainment Rate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7F320A98" w14:textId="77777777" w:rsidR="00161B49" w:rsidRPr="006C6124" w:rsidRDefault="00161B49" w:rsidP="00161B49">
            <w:pPr>
              <w:spacing w:line="259" w:lineRule="auto"/>
              <w:ind w:right="24"/>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3DCD5365" w14:textId="77777777" w:rsidR="00161B49" w:rsidRPr="006C6124" w:rsidRDefault="00161B49" w:rsidP="00161B49">
            <w:pPr>
              <w:spacing w:line="259" w:lineRule="auto"/>
              <w:ind w:right="22"/>
              <w:jc w:val="center"/>
              <w:rPr>
                <w:rFonts w:ascii="Calibri" w:eastAsia="Cambria" w:hAnsi="Calibri" w:cs="Calibri"/>
                <w:color w:val="000000"/>
              </w:rPr>
            </w:pP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09050C02" w14:textId="77777777" w:rsidR="00161B49" w:rsidRPr="006C6124" w:rsidRDefault="00161B49" w:rsidP="00161B49">
            <w:pPr>
              <w:spacing w:line="259" w:lineRule="auto"/>
              <w:ind w:right="22"/>
              <w:jc w:val="center"/>
              <w:rPr>
                <w:rFonts w:ascii="Calibri" w:eastAsia="Cambria" w:hAnsi="Calibri" w:cs="Calibri"/>
                <w:color w:val="000000"/>
              </w:rPr>
            </w:pP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1AA52B0" w14:textId="77777777" w:rsidR="00161B49" w:rsidRPr="006C6124" w:rsidRDefault="00161B49" w:rsidP="00161B49">
            <w:pPr>
              <w:spacing w:line="259" w:lineRule="auto"/>
              <w:ind w:right="21"/>
              <w:jc w:val="center"/>
              <w:rPr>
                <w:rFonts w:ascii="Calibri" w:eastAsia="Cambria" w:hAnsi="Calibri" w:cs="Calibri"/>
                <w:color w:val="000000"/>
              </w:rPr>
            </w:pPr>
          </w:p>
        </w:tc>
      </w:tr>
      <w:tr w:rsidR="00842703" w:rsidRPr="006C6124" w14:paraId="60970070" w14:textId="77777777">
        <w:trPr>
          <w:trHeight w:val="595"/>
        </w:trPr>
        <w:tc>
          <w:tcPr>
            <w:tcW w:w="2083"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Pr>
          <w:p w14:paraId="2486CD97" w14:textId="77777777" w:rsidR="00161B49" w:rsidRPr="006C6124" w:rsidRDefault="00161B49" w:rsidP="00161B49">
            <w:pPr>
              <w:spacing w:line="259" w:lineRule="auto"/>
              <w:jc w:val="center"/>
              <w:rPr>
                <w:rFonts w:ascii="Calibri" w:eastAsia="Cambria" w:hAnsi="Calibri" w:cs="Calibri"/>
                <w:color w:val="000000"/>
              </w:rPr>
            </w:pPr>
            <w:r w:rsidRPr="006C6124">
              <w:rPr>
                <w:rFonts w:ascii="Calibri" w:eastAsia="Times New Roman" w:hAnsi="Calibri" w:cs="Calibri"/>
                <w:color w:val="000000"/>
              </w:rPr>
              <w:t xml:space="preserve">Measurable Skill Gains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6289DEDD" w14:textId="77777777" w:rsidR="00161B49" w:rsidRPr="006C6124" w:rsidRDefault="00161B49" w:rsidP="00161B49">
            <w:pPr>
              <w:spacing w:line="259" w:lineRule="auto"/>
              <w:ind w:left="37"/>
              <w:jc w:val="center"/>
              <w:rPr>
                <w:rFonts w:ascii="Calibri" w:eastAsia="Cambria" w:hAnsi="Calibri" w:cs="Calibri"/>
                <w:color w:val="000000"/>
              </w:rPr>
            </w:pPr>
            <w:r w:rsidRPr="006C6124">
              <w:rPr>
                <w:rFonts w:ascii="Calibri" w:eastAsia="Times New Roman" w:hAnsi="Calibri" w:cs="Calibri"/>
                <w:color w:val="000000"/>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5E37A949" w14:textId="77777777" w:rsidR="00161B49" w:rsidRPr="006C6124" w:rsidRDefault="00161B49" w:rsidP="00161B49">
            <w:pPr>
              <w:spacing w:line="259" w:lineRule="auto"/>
              <w:ind w:left="35"/>
              <w:jc w:val="center"/>
              <w:rPr>
                <w:rFonts w:ascii="Calibri" w:eastAsia="Cambria" w:hAnsi="Calibri" w:cs="Calibri"/>
                <w:color w:val="000000"/>
              </w:rPr>
            </w:pPr>
            <w:r w:rsidRPr="006C6124">
              <w:rPr>
                <w:rFonts w:ascii="Calibri" w:eastAsia="Times New Roman" w:hAnsi="Calibri" w:cs="Calibri"/>
                <w:color w:val="000000"/>
              </w:rPr>
              <w:t xml:space="preserve"> </w:t>
            </w:r>
          </w:p>
        </w:tc>
        <w:tc>
          <w:tcPr>
            <w:tcW w:w="2075" w:type="dxa"/>
            <w:tcBorders>
              <w:top w:val="double" w:sz="6" w:space="0" w:color="000000" w:themeColor="text1"/>
              <w:left w:val="double" w:sz="6" w:space="0" w:color="000000" w:themeColor="text1"/>
              <w:bottom w:val="double" w:sz="6" w:space="0" w:color="000000" w:themeColor="text1"/>
              <w:right w:val="double" w:sz="6" w:space="0" w:color="000000" w:themeColor="text1"/>
            </w:tcBorders>
            <w:vAlign w:val="center"/>
          </w:tcPr>
          <w:p w14:paraId="18665008" w14:textId="77777777" w:rsidR="00161B49" w:rsidRPr="006C6124" w:rsidRDefault="00161B49" w:rsidP="00161B49">
            <w:pPr>
              <w:spacing w:line="259" w:lineRule="auto"/>
              <w:ind w:left="35"/>
              <w:jc w:val="center"/>
              <w:rPr>
                <w:rFonts w:ascii="Calibri" w:eastAsia="Cambria" w:hAnsi="Calibri" w:cs="Calibri"/>
                <w:color w:val="000000"/>
              </w:rPr>
            </w:pPr>
            <w:r w:rsidRPr="006C6124">
              <w:rPr>
                <w:rFonts w:ascii="Calibri" w:eastAsia="Times New Roman" w:hAnsi="Calibri" w:cs="Calibri"/>
                <w:color w:val="000000"/>
              </w:rPr>
              <w:t xml:space="preserve"> </w:t>
            </w:r>
          </w:p>
        </w:tc>
        <w:tc>
          <w:tcPr>
            <w:tcW w:w="2074" w:type="dxa"/>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5DCE4" w:themeFill="text2" w:themeFillTint="33"/>
            <w:vAlign w:val="center"/>
          </w:tcPr>
          <w:p w14:paraId="2818F5B6" w14:textId="77777777" w:rsidR="00161B49" w:rsidRPr="006C6124" w:rsidRDefault="00161B49" w:rsidP="00161B49">
            <w:pPr>
              <w:spacing w:line="259" w:lineRule="auto"/>
              <w:ind w:left="37"/>
              <w:jc w:val="center"/>
              <w:rPr>
                <w:rFonts w:ascii="Calibri" w:eastAsia="Cambria" w:hAnsi="Calibri" w:cs="Calibri"/>
                <w:color w:val="000000"/>
              </w:rPr>
            </w:pPr>
            <w:r w:rsidRPr="006C6124">
              <w:rPr>
                <w:rFonts w:ascii="Calibri" w:eastAsia="Times New Roman" w:hAnsi="Calibri" w:cs="Calibri"/>
                <w:color w:val="000000"/>
              </w:rPr>
              <w:t xml:space="preserve"> </w:t>
            </w:r>
          </w:p>
        </w:tc>
      </w:tr>
    </w:tbl>
    <w:p w14:paraId="1BF8A0CE" w14:textId="77777777" w:rsidR="00161B49" w:rsidRPr="006C6124" w:rsidRDefault="00161B49" w:rsidP="00161B49">
      <w:pPr>
        <w:spacing w:line="259" w:lineRule="auto"/>
        <w:ind w:left="1"/>
        <w:rPr>
          <w:rFonts w:ascii="Calibri" w:eastAsia="Cambria" w:hAnsi="Calibri" w:cs="Calibri"/>
          <w:color w:val="000000"/>
        </w:rPr>
      </w:pPr>
      <w:r w:rsidRPr="006C6124">
        <w:rPr>
          <w:rFonts w:ascii="Calibri" w:eastAsia="Times New Roman" w:hAnsi="Calibri" w:cs="Calibri"/>
          <w:color w:val="000000"/>
        </w:rPr>
        <w:t xml:space="preserve"> </w:t>
      </w:r>
    </w:p>
    <w:tbl>
      <w:tblPr>
        <w:tblStyle w:val="TableGrid1"/>
        <w:tblW w:w="10391" w:type="dxa"/>
        <w:tblInd w:w="-106" w:type="dxa"/>
        <w:tblCellMar>
          <w:top w:w="79" w:type="dxa"/>
          <w:left w:w="106" w:type="dxa"/>
          <w:bottom w:w="22" w:type="dxa"/>
          <w:right w:w="71" w:type="dxa"/>
        </w:tblCellMar>
        <w:tblLook w:val="04A0" w:firstRow="1" w:lastRow="0" w:firstColumn="1" w:lastColumn="0" w:noHBand="0" w:noVBand="1"/>
      </w:tblPr>
      <w:tblGrid>
        <w:gridCol w:w="2084"/>
        <w:gridCol w:w="2039"/>
        <w:gridCol w:w="2054"/>
        <w:gridCol w:w="2159"/>
        <w:gridCol w:w="2055"/>
      </w:tblGrid>
      <w:tr w:rsidR="0077572E" w:rsidRPr="006C6124" w14:paraId="1E6BAB93" w14:textId="77777777">
        <w:trPr>
          <w:trHeight w:val="387"/>
        </w:trPr>
        <w:tc>
          <w:tcPr>
            <w:tcW w:w="2084" w:type="dxa"/>
            <w:vMerge w:val="restart"/>
            <w:tcBorders>
              <w:top w:val="double" w:sz="6" w:space="0" w:color="000000"/>
              <w:left w:val="double" w:sz="6" w:space="0" w:color="000000"/>
              <w:bottom w:val="double" w:sz="6" w:space="0" w:color="000000"/>
              <w:right w:val="double" w:sz="6" w:space="0" w:color="000000"/>
            </w:tcBorders>
            <w:shd w:val="clear" w:color="auto" w:fill="D9D9D9"/>
            <w:vAlign w:val="bottom"/>
          </w:tcPr>
          <w:p w14:paraId="2C3DC9B1"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 </w:t>
            </w:r>
          </w:p>
        </w:tc>
        <w:tc>
          <w:tcPr>
            <w:tcW w:w="8307" w:type="dxa"/>
            <w:gridSpan w:val="4"/>
            <w:tcBorders>
              <w:top w:val="double" w:sz="6" w:space="0" w:color="000000"/>
              <w:left w:val="double" w:sz="6" w:space="0" w:color="000000"/>
              <w:bottom w:val="double" w:sz="6" w:space="0" w:color="000000"/>
              <w:right w:val="double" w:sz="6" w:space="0" w:color="000000"/>
            </w:tcBorders>
            <w:shd w:val="clear" w:color="auto" w:fill="D9D9D9"/>
            <w:vAlign w:val="bottom"/>
          </w:tcPr>
          <w:p w14:paraId="596F5062" w14:textId="77777777" w:rsidR="00161B49" w:rsidRPr="006C6124" w:rsidRDefault="00161B49" w:rsidP="00161B49">
            <w:pPr>
              <w:spacing w:line="259" w:lineRule="auto"/>
              <w:ind w:right="32"/>
              <w:jc w:val="center"/>
              <w:rPr>
                <w:rFonts w:ascii="Calibri" w:eastAsia="Cambria" w:hAnsi="Calibri" w:cs="Calibri"/>
                <w:color w:val="000000"/>
              </w:rPr>
            </w:pPr>
            <w:r w:rsidRPr="006C6124">
              <w:rPr>
                <w:rFonts w:ascii="Calibri" w:eastAsia="Times New Roman" w:hAnsi="Calibri" w:cs="Calibri"/>
                <w:color w:val="000000"/>
              </w:rPr>
              <w:t xml:space="preserve">All WIOA Core Programs </w:t>
            </w:r>
          </w:p>
        </w:tc>
      </w:tr>
      <w:tr w:rsidR="00950658" w:rsidRPr="006C6124" w14:paraId="0394A241" w14:textId="77777777">
        <w:trPr>
          <w:trHeight w:val="390"/>
        </w:trPr>
        <w:tc>
          <w:tcPr>
            <w:tcW w:w="0" w:type="auto"/>
            <w:vMerge/>
            <w:tcBorders>
              <w:top w:val="nil"/>
              <w:left w:val="double" w:sz="6" w:space="0" w:color="000000"/>
              <w:bottom w:val="nil"/>
              <w:right w:val="double" w:sz="6" w:space="0" w:color="000000"/>
            </w:tcBorders>
          </w:tcPr>
          <w:p w14:paraId="23A1F66E" w14:textId="77777777" w:rsidR="00161B49" w:rsidRPr="006C6124" w:rsidRDefault="00161B49" w:rsidP="00161B49">
            <w:pPr>
              <w:spacing w:after="160" w:line="259" w:lineRule="auto"/>
              <w:rPr>
                <w:rFonts w:ascii="Calibri" w:eastAsia="Cambria" w:hAnsi="Calibri" w:cs="Calibri"/>
                <w:color w:val="000000"/>
              </w:rPr>
            </w:pPr>
          </w:p>
        </w:tc>
        <w:tc>
          <w:tcPr>
            <w:tcW w:w="4093"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17778D24" w14:textId="32263879" w:rsidR="00161B49" w:rsidRPr="006C6124" w:rsidRDefault="00161B49" w:rsidP="00161B49">
            <w:pPr>
              <w:spacing w:line="259" w:lineRule="auto"/>
              <w:ind w:right="33"/>
              <w:jc w:val="center"/>
              <w:rPr>
                <w:rFonts w:ascii="Calibri" w:eastAsia="Cambria" w:hAnsi="Calibri" w:cs="Calibri"/>
                <w:color w:val="000000"/>
              </w:rPr>
            </w:pPr>
            <w:r w:rsidRPr="006C6124">
              <w:rPr>
                <w:rFonts w:ascii="Calibri" w:eastAsia="Times New Roman" w:hAnsi="Calibri" w:cs="Calibri"/>
                <w:color w:val="000000"/>
              </w:rPr>
              <w:t xml:space="preserve">Program Year:  </w:t>
            </w:r>
          </w:p>
        </w:tc>
        <w:tc>
          <w:tcPr>
            <w:tcW w:w="4214" w:type="dxa"/>
            <w:gridSpan w:val="2"/>
            <w:tcBorders>
              <w:top w:val="double" w:sz="6" w:space="0" w:color="000000"/>
              <w:left w:val="double" w:sz="6" w:space="0" w:color="000000"/>
              <w:bottom w:val="double" w:sz="6" w:space="0" w:color="000000"/>
              <w:right w:val="double" w:sz="6" w:space="0" w:color="000000"/>
            </w:tcBorders>
            <w:shd w:val="clear" w:color="auto" w:fill="D9D9D9"/>
            <w:vAlign w:val="bottom"/>
          </w:tcPr>
          <w:p w14:paraId="606E53E0" w14:textId="6CA41AD1" w:rsidR="00161B49" w:rsidRPr="006C6124" w:rsidRDefault="00161B49" w:rsidP="00161B49">
            <w:pPr>
              <w:spacing w:line="259" w:lineRule="auto"/>
              <w:ind w:right="31"/>
              <w:jc w:val="center"/>
              <w:rPr>
                <w:rFonts w:ascii="Calibri" w:eastAsia="Cambria" w:hAnsi="Calibri" w:cs="Calibri"/>
                <w:color w:val="000000"/>
              </w:rPr>
            </w:pPr>
            <w:r w:rsidRPr="006C6124">
              <w:rPr>
                <w:rFonts w:ascii="Calibri" w:eastAsia="Times New Roman" w:hAnsi="Calibri" w:cs="Calibri"/>
                <w:color w:val="000000"/>
              </w:rPr>
              <w:t xml:space="preserve">Program Year:  </w:t>
            </w:r>
          </w:p>
        </w:tc>
      </w:tr>
      <w:tr w:rsidR="00950658" w:rsidRPr="006C6124" w14:paraId="6D59F0DF" w14:textId="77777777">
        <w:trPr>
          <w:trHeight w:val="390"/>
        </w:trPr>
        <w:tc>
          <w:tcPr>
            <w:tcW w:w="0" w:type="auto"/>
            <w:vMerge/>
            <w:tcBorders>
              <w:top w:val="nil"/>
              <w:left w:val="double" w:sz="6" w:space="0" w:color="000000"/>
              <w:bottom w:val="double" w:sz="6" w:space="0" w:color="000000"/>
              <w:right w:val="double" w:sz="6" w:space="0" w:color="000000"/>
            </w:tcBorders>
          </w:tcPr>
          <w:p w14:paraId="78213DF9" w14:textId="77777777" w:rsidR="00161B49" w:rsidRPr="006C6124" w:rsidRDefault="00161B49" w:rsidP="00161B49">
            <w:pPr>
              <w:spacing w:after="160" w:line="259" w:lineRule="auto"/>
              <w:rPr>
                <w:rFonts w:ascii="Calibri" w:eastAsia="Cambria" w:hAnsi="Calibri" w:cs="Calibri"/>
                <w:color w:val="000000"/>
              </w:rPr>
            </w:pPr>
          </w:p>
        </w:tc>
        <w:tc>
          <w:tcPr>
            <w:tcW w:w="2039"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2E5379A9" w14:textId="77777777" w:rsidR="00161B49" w:rsidRPr="006C6124" w:rsidRDefault="00161B49" w:rsidP="00161B49">
            <w:pPr>
              <w:spacing w:line="259" w:lineRule="auto"/>
              <w:ind w:right="30"/>
              <w:jc w:val="center"/>
              <w:rPr>
                <w:rFonts w:ascii="Calibri" w:eastAsia="Cambria" w:hAnsi="Calibri" w:cs="Calibri"/>
                <w:color w:val="000000"/>
              </w:rPr>
            </w:pPr>
            <w:r w:rsidRPr="006C6124">
              <w:rPr>
                <w:rFonts w:ascii="Calibri" w:eastAsia="Times New Roman" w:hAnsi="Calibri" w:cs="Calibri"/>
                <w:color w:val="000000"/>
              </w:rPr>
              <w:t xml:space="preserve">Expected Level </w:t>
            </w:r>
          </w:p>
        </w:tc>
        <w:tc>
          <w:tcPr>
            <w:tcW w:w="205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536F1A24" w14:textId="77777777" w:rsidR="00161B49" w:rsidRPr="006C6124" w:rsidRDefault="00161B49" w:rsidP="00161B49">
            <w:pPr>
              <w:spacing w:line="259" w:lineRule="auto"/>
              <w:ind w:right="125"/>
              <w:jc w:val="right"/>
              <w:rPr>
                <w:rFonts w:ascii="Calibri" w:eastAsia="Cambria" w:hAnsi="Calibri" w:cs="Calibri"/>
                <w:color w:val="000000"/>
              </w:rPr>
            </w:pPr>
            <w:r w:rsidRPr="006C6124">
              <w:rPr>
                <w:rFonts w:ascii="Calibri" w:eastAsia="Times New Roman" w:hAnsi="Calibri" w:cs="Calibri"/>
                <w:color w:val="000000"/>
              </w:rPr>
              <w:t xml:space="preserve">Negotiated Level  </w:t>
            </w:r>
          </w:p>
        </w:tc>
        <w:tc>
          <w:tcPr>
            <w:tcW w:w="2159"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684AB76F" w14:textId="77777777" w:rsidR="00161B49" w:rsidRPr="006C6124" w:rsidRDefault="00161B49" w:rsidP="00161B49">
            <w:pPr>
              <w:spacing w:line="259" w:lineRule="auto"/>
              <w:ind w:right="31"/>
              <w:jc w:val="center"/>
              <w:rPr>
                <w:rFonts w:ascii="Calibri" w:eastAsia="Cambria" w:hAnsi="Calibri" w:cs="Calibri"/>
                <w:color w:val="000000"/>
              </w:rPr>
            </w:pPr>
            <w:r w:rsidRPr="006C6124">
              <w:rPr>
                <w:rFonts w:ascii="Calibri" w:eastAsia="Times New Roman" w:hAnsi="Calibri" w:cs="Calibri"/>
                <w:color w:val="000000"/>
              </w:rPr>
              <w:t xml:space="preserve">Expected Level </w:t>
            </w:r>
          </w:p>
        </w:tc>
        <w:tc>
          <w:tcPr>
            <w:tcW w:w="2054"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156C0DCB" w14:textId="77777777" w:rsidR="00161B49" w:rsidRPr="006C6124" w:rsidRDefault="00161B49" w:rsidP="00161B49">
            <w:pPr>
              <w:spacing w:line="259" w:lineRule="auto"/>
              <w:ind w:right="125"/>
              <w:jc w:val="right"/>
              <w:rPr>
                <w:rFonts w:ascii="Calibri" w:eastAsia="Cambria" w:hAnsi="Calibri" w:cs="Calibri"/>
                <w:color w:val="000000"/>
              </w:rPr>
            </w:pPr>
            <w:r w:rsidRPr="006C6124">
              <w:rPr>
                <w:rFonts w:ascii="Calibri" w:eastAsia="Times New Roman" w:hAnsi="Calibri" w:cs="Calibri"/>
                <w:color w:val="000000"/>
              </w:rPr>
              <w:t xml:space="preserve">Negotiated Level  </w:t>
            </w:r>
          </w:p>
        </w:tc>
      </w:tr>
      <w:tr w:rsidR="00950658" w:rsidRPr="006C6124" w14:paraId="0913FFB1" w14:textId="77777777">
        <w:trPr>
          <w:trHeight w:val="596"/>
        </w:trPr>
        <w:tc>
          <w:tcPr>
            <w:tcW w:w="2084" w:type="dxa"/>
            <w:tcBorders>
              <w:top w:val="double" w:sz="6" w:space="0" w:color="000000"/>
              <w:left w:val="double" w:sz="6" w:space="0" w:color="000000"/>
              <w:bottom w:val="double" w:sz="6" w:space="0" w:color="000000"/>
              <w:right w:val="double" w:sz="6" w:space="0" w:color="000000"/>
            </w:tcBorders>
            <w:shd w:val="clear" w:color="auto" w:fill="D9D9D9"/>
          </w:tcPr>
          <w:p w14:paraId="2E7A89D5"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Effectiveness in </w:t>
            </w:r>
          </w:p>
          <w:p w14:paraId="2E067CBB"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Serving Employers </w:t>
            </w:r>
          </w:p>
        </w:tc>
        <w:tc>
          <w:tcPr>
            <w:tcW w:w="2039" w:type="dxa"/>
            <w:tcBorders>
              <w:top w:val="double" w:sz="6" w:space="0" w:color="000000"/>
              <w:left w:val="double" w:sz="6" w:space="0" w:color="000000"/>
              <w:bottom w:val="double" w:sz="6" w:space="0" w:color="000000"/>
              <w:right w:val="double" w:sz="6" w:space="0" w:color="000000"/>
            </w:tcBorders>
            <w:vAlign w:val="center"/>
          </w:tcPr>
          <w:p w14:paraId="49EBEF4B" w14:textId="77777777" w:rsidR="00161B49" w:rsidRPr="006C6124" w:rsidRDefault="00161B49" w:rsidP="00161B49">
            <w:pPr>
              <w:spacing w:line="259" w:lineRule="auto"/>
              <w:ind w:right="30"/>
              <w:jc w:val="center"/>
              <w:rPr>
                <w:rFonts w:ascii="Calibri" w:eastAsia="Cambria" w:hAnsi="Calibri" w:cs="Calibri"/>
                <w:color w:val="000000"/>
              </w:rPr>
            </w:pPr>
          </w:p>
        </w:tc>
        <w:tc>
          <w:tcPr>
            <w:tcW w:w="205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7B47F685" w14:textId="77777777" w:rsidR="00161B49" w:rsidRPr="006C6124" w:rsidRDefault="00161B49" w:rsidP="00161B49">
            <w:pPr>
              <w:spacing w:line="259" w:lineRule="auto"/>
              <w:ind w:right="31"/>
              <w:jc w:val="center"/>
              <w:rPr>
                <w:rFonts w:ascii="Calibri" w:eastAsia="Cambria" w:hAnsi="Calibri" w:cs="Calibri"/>
                <w:color w:val="000000"/>
              </w:rPr>
            </w:pPr>
          </w:p>
        </w:tc>
        <w:tc>
          <w:tcPr>
            <w:tcW w:w="2159" w:type="dxa"/>
            <w:tcBorders>
              <w:top w:val="double" w:sz="6" w:space="0" w:color="000000"/>
              <w:left w:val="double" w:sz="6" w:space="0" w:color="000000"/>
              <w:bottom w:val="double" w:sz="6" w:space="0" w:color="000000"/>
              <w:right w:val="double" w:sz="6" w:space="0" w:color="000000"/>
            </w:tcBorders>
            <w:vAlign w:val="center"/>
          </w:tcPr>
          <w:p w14:paraId="12C94A33" w14:textId="77777777" w:rsidR="00161B49" w:rsidRPr="006C6124" w:rsidRDefault="00161B49" w:rsidP="00161B49">
            <w:pPr>
              <w:spacing w:line="259" w:lineRule="auto"/>
              <w:ind w:right="31"/>
              <w:jc w:val="center"/>
              <w:rPr>
                <w:rFonts w:ascii="Calibri" w:eastAsia="Cambria" w:hAnsi="Calibri" w:cs="Calibri"/>
                <w:color w:val="000000"/>
              </w:rPr>
            </w:pPr>
          </w:p>
        </w:tc>
        <w:tc>
          <w:tcPr>
            <w:tcW w:w="2054" w:type="dxa"/>
            <w:tcBorders>
              <w:top w:val="double" w:sz="6" w:space="0" w:color="000000"/>
              <w:left w:val="double" w:sz="6" w:space="0" w:color="000000"/>
              <w:bottom w:val="double" w:sz="6" w:space="0" w:color="000000"/>
              <w:right w:val="double" w:sz="6" w:space="0" w:color="000000"/>
            </w:tcBorders>
            <w:shd w:val="clear" w:color="auto" w:fill="D5DCE4"/>
            <w:vAlign w:val="center"/>
          </w:tcPr>
          <w:p w14:paraId="4F303FFF" w14:textId="77777777" w:rsidR="00161B49" w:rsidRPr="006C6124" w:rsidRDefault="00161B49" w:rsidP="00161B49">
            <w:pPr>
              <w:spacing w:line="259" w:lineRule="auto"/>
              <w:ind w:right="30"/>
              <w:jc w:val="center"/>
              <w:rPr>
                <w:rFonts w:ascii="Calibri" w:eastAsia="Cambria" w:hAnsi="Calibri" w:cs="Calibri"/>
                <w:color w:val="000000"/>
              </w:rPr>
            </w:pPr>
          </w:p>
        </w:tc>
      </w:tr>
    </w:tbl>
    <w:p w14:paraId="5F44EBE9" w14:textId="77777777" w:rsidR="00161B49" w:rsidRPr="006C6124" w:rsidRDefault="00161B49" w:rsidP="00161B49">
      <w:pPr>
        <w:spacing w:line="259" w:lineRule="auto"/>
        <w:ind w:left="1"/>
        <w:rPr>
          <w:rFonts w:ascii="Calibri" w:eastAsia="Cambria" w:hAnsi="Calibri" w:cs="Calibri"/>
          <w:color w:val="000000"/>
        </w:rPr>
      </w:pPr>
      <w:r w:rsidRPr="006C6124">
        <w:rPr>
          <w:rFonts w:ascii="Calibri" w:eastAsia="Times New Roman" w:hAnsi="Calibri" w:cs="Calibri"/>
          <w:color w:val="000000"/>
        </w:rPr>
        <w:t xml:space="preserve"> </w:t>
      </w:r>
    </w:p>
    <w:tbl>
      <w:tblPr>
        <w:tblStyle w:val="TableGrid1"/>
        <w:tblW w:w="8926" w:type="dxa"/>
        <w:tblInd w:w="-106" w:type="dxa"/>
        <w:tblCellMar>
          <w:top w:w="59" w:type="dxa"/>
          <w:left w:w="107" w:type="dxa"/>
          <w:right w:w="115" w:type="dxa"/>
        </w:tblCellMar>
        <w:tblLook w:val="04A0" w:firstRow="1" w:lastRow="0" w:firstColumn="1" w:lastColumn="0" w:noHBand="0" w:noVBand="1"/>
      </w:tblPr>
      <w:tblGrid>
        <w:gridCol w:w="8926"/>
      </w:tblGrid>
      <w:tr w:rsidR="00B71EC0" w:rsidRPr="006C6124" w14:paraId="18ED5E09" w14:textId="77777777">
        <w:trPr>
          <w:trHeight w:val="283"/>
        </w:trPr>
        <w:tc>
          <w:tcPr>
            <w:tcW w:w="8926" w:type="dxa"/>
            <w:tcBorders>
              <w:top w:val="single" w:sz="4" w:space="0" w:color="000000"/>
              <w:left w:val="single" w:sz="4" w:space="0" w:color="000000"/>
              <w:bottom w:val="single" w:sz="4" w:space="0" w:color="000000"/>
              <w:right w:val="single" w:sz="4" w:space="0" w:color="000000"/>
            </w:tcBorders>
            <w:shd w:val="clear" w:color="auto" w:fill="BFBFBF"/>
          </w:tcPr>
          <w:p w14:paraId="721B35D7"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Additional Indicators of Performance  </w:t>
            </w:r>
          </w:p>
        </w:tc>
      </w:tr>
      <w:tr w:rsidR="001247DA" w:rsidRPr="006C6124" w14:paraId="7BAD6E91" w14:textId="77777777">
        <w:trPr>
          <w:trHeight w:val="288"/>
        </w:trPr>
        <w:tc>
          <w:tcPr>
            <w:tcW w:w="8926" w:type="dxa"/>
            <w:tcBorders>
              <w:top w:val="single" w:sz="4" w:space="0" w:color="000000"/>
              <w:left w:val="single" w:sz="4" w:space="0" w:color="000000"/>
              <w:bottom w:val="single" w:sz="4" w:space="0" w:color="000000"/>
              <w:right w:val="single" w:sz="4" w:space="0" w:color="000000"/>
            </w:tcBorders>
          </w:tcPr>
          <w:p w14:paraId="653D4C85"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1. </w:t>
            </w:r>
          </w:p>
        </w:tc>
      </w:tr>
      <w:tr w:rsidR="001247DA" w:rsidRPr="006C6124" w14:paraId="55FD3728" w14:textId="77777777">
        <w:trPr>
          <w:trHeight w:val="286"/>
        </w:trPr>
        <w:tc>
          <w:tcPr>
            <w:tcW w:w="8926" w:type="dxa"/>
            <w:tcBorders>
              <w:top w:val="single" w:sz="4" w:space="0" w:color="000000"/>
              <w:left w:val="single" w:sz="4" w:space="0" w:color="000000"/>
              <w:bottom w:val="single" w:sz="4" w:space="0" w:color="000000"/>
              <w:right w:val="single" w:sz="4" w:space="0" w:color="000000"/>
            </w:tcBorders>
          </w:tcPr>
          <w:p w14:paraId="4777B23A"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2. </w:t>
            </w:r>
          </w:p>
        </w:tc>
      </w:tr>
      <w:tr w:rsidR="001247DA" w:rsidRPr="006C6124" w14:paraId="3CCA8589" w14:textId="77777777">
        <w:trPr>
          <w:trHeight w:val="286"/>
        </w:trPr>
        <w:tc>
          <w:tcPr>
            <w:tcW w:w="8926" w:type="dxa"/>
            <w:tcBorders>
              <w:top w:val="single" w:sz="4" w:space="0" w:color="000000"/>
              <w:left w:val="single" w:sz="4" w:space="0" w:color="000000"/>
              <w:bottom w:val="single" w:sz="4" w:space="0" w:color="000000"/>
              <w:right w:val="single" w:sz="4" w:space="0" w:color="000000"/>
            </w:tcBorders>
          </w:tcPr>
          <w:p w14:paraId="6E39DC6F"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3. </w:t>
            </w:r>
          </w:p>
        </w:tc>
      </w:tr>
      <w:tr w:rsidR="001247DA" w:rsidRPr="006C6124" w14:paraId="64D25CDC" w14:textId="77777777">
        <w:trPr>
          <w:trHeight w:val="287"/>
        </w:trPr>
        <w:tc>
          <w:tcPr>
            <w:tcW w:w="8926" w:type="dxa"/>
            <w:tcBorders>
              <w:top w:val="single" w:sz="4" w:space="0" w:color="000000"/>
              <w:left w:val="single" w:sz="4" w:space="0" w:color="000000"/>
              <w:bottom w:val="single" w:sz="4" w:space="0" w:color="000000"/>
              <w:right w:val="single" w:sz="4" w:space="0" w:color="000000"/>
            </w:tcBorders>
          </w:tcPr>
          <w:p w14:paraId="4071B24F" w14:textId="77777777" w:rsidR="00161B49" w:rsidRPr="006C6124" w:rsidRDefault="00161B49" w:rsidP="00161B49">
            <w:pPr>
              <w:spacing w:line="259" w:lineRule="auto"/>
              <w:rPr>
                <w:rFonts w:ascii="Calibri" w:eastAsia="Cambria" w:hAnsi="Calibri" w:cs="Calibri"/>
                <w:color w:val="000000"/>
              </w:rPr>
            </w:pPr>
            <w:r w:rsidRPr="006C6124">
              <w:rPr>
                <w:rFonts w:ascii="Calibri" w:eastAsia="Times New Roman" w:hAnsi="Calibri" w:cs="Calibri"/>
                <w:color w:val="000000"/>
              </w:rPr>
              <w:t xml:space="preserve">4. </w:t>
            </w:r>
          </w:p>
        </w:tc>
      </w:tr>
    </w:tbl>
    <w:p w14:paraId="01DDA11B" w14:textId="27095E2E" w:rsidR="00F40DDE" w:rsidRDefault="00F40DDE">
      <w:pPr>
        <w:rPr>
          <w:rFonts w:ascii="Calibri" w:hAnsi="Calibri" w:cs="Calibri"/>
        </w:rPr>
      </w:pPr>
    </w:p>
    <w:p w14:paraId="2D6EC3F5" w14:textId="77777777" w:rsidR="00F40DDE" w:rsidRDefault="00F40DDE">
      <w:pPr>
        <w:rPr>
          <w:rFonts w:ascii="Calibri" w:hAnsi="Calibri" w:cs="Calibri"/>
        </w:rPr>
      </w:pPr>
      <w:r>
        <w:rPr>
          <w:rFonts w:ascii="Calibri" w:hAnsi="Calibri" w:cs="Calibri"/>
        </w:rPr>
        <w:br w:type="page"/>
      </w:r>
    </w:p>
    <w:p w14:paraId="7330342B" w14:textId="77777777" w:rsidR="00822D3E" w:rsidRDefault="00822D3E" w:rsidP="00EB5906">
      <w:pPr>
        <w:spacing w:after="120"/>
      </w:pPr>
      <w:r>
        <w:lastRenderedPageBreak/>
        <w:t xml:space="preserve">GEPA Requirements </w:t>
      </w:r>
    </w:p>
    <w:p w14:paraId="1BA0E154" w14:textId="77777777" w:rsidR="00A10CE0" w:rsidRPr="003A7EE5" w:rsidRDefault="00A10CE0" w:rsidP="00A10CE0">
      <w:pPr>
        <w:ind w:left="720"/>
      </w:pPr>
      <w:r w:rsidRPr="003A7EE5">
        <w:t>GEPA 427 Form Instructions for Application Package - Vocational Rehabilitation</w:t>
      </w:r>
    </w:p>
    <w:p w14:paraId="05F123EB" w14:textId="77777777" w:rsidR="00A10CE0" w:rsidRPr="003A7EE5" w:rsidRDefault="00A10CE0" w:rsidP="00A10CE0">
      <w:pPr>
        <w:numPr>
          <w:ilvl w:val="1"/>
          <w:numId w:val="78"/>
        </w:numPr>
      </w:pPr>
      <w:r w:rsidRPr="003A7EE5">
        <w:t>1. Describe how your entity’s existing mission, policies, or commitments ensure equitable access to, and equitable participation in, the proposed project or activity.</w:t>
      </w:r>
    </w:p>
    <w:p w14:paraId="0EFB9E07" w14:textId="77777777" w:rsidR="00A10CE0" w:rsidRPr="003A7EE5" w:rsidRDefault="00A10CE0" w:rsidP="00A10CE0">
      <w:pPr>
        <w:numPr>
          <w:ilvl w:val="1"/>
          <w:numId w:val="78"/>
        </w:numPr>
      </w:pPr>
      <w:r w:rsidRPr="003A7EE5">
        <w:t>2. Based on your proposed project or activity, what barriers may impede equitable access and participation of students, educators, or other beneficiaries?</w:t>
      </w:r>
    </w:p>
    <w:p w14:paraId="65EA3A19" w14:textId="77777777" w:rsidR="00A10CE0" w:rsidRPr="003A7EE5" w:rsidRDefault="00A10CE0" w:rsidP="00A10CE0">
      <w:pPr>
        <w:numPr>
          <w:ilvl w:val="1"/>
          <w:numId w:val="78"/>
        </w:numPr>
      </w:pPr>
      <w:r w:rsidRPr="003A7EE5">
        <w:t>3. Based on the barriers identified, what steps will you take to address such barriers to equitable access and participation in the proposed project or activity?</w:t>
      </w:r>
    </w:p>
    <w:p w14:paraId="65C3BCD4" w14:textId="29950B4E" w:rsidR="00A10CE0" w:rsidRDefault="00A10CE0" w:rsidP="00EB5906">
      <w:pPr>
        <w:numPr>
          <w:ilvl w:val="1"/>
          <w:numId w:val="78"/>
        </w:numPr>
        <w:spacing w:after="240"/>
      </w:pPr>
      <w:r w:rsidRPr="003A7EE5">
        <w:t>4. What is your timeline, including targeted milestones, for addressing these identified barriers?</w:t>
      </w:r>
    </w:p>
    <w:p w14:paraId="524340DB" w14:textId="77777777" w:rsidR="00D534DE" w:rsidRDefault="00D534DE" w:rsidP="00D534DE">
      <w:pPr>
        <w:pStyle w:val="ListParagraph"/>
        <w:numPr>
          <w:ilvl w:val="0"/>
          <w:numId w:val="79"/>
        </w:numPr>
        <w:tabs>
          <w:tab w:val="left" w:pos="180"/>
        </w:tabs>
        <w:spacing w:after="120"/>
        <w:ind w:left="0" w:firstLine="0"/>
        <w:contextualSpacing w:val="0"/>
        <w:rPr>
          <w:rStyle w:val="ui-provider"/>
        </w:rPr>
      </w:pPr>
      <w:r>
        <w:rPr>
          <w:rStyle w:val="ui-provider"/>
        </w:rPr>
        <w:t>Describe how your entity’s existing mission, policies, or commitments ensure equitable access to, and equitable participation in, the proposed project or activity.</w:t>
      </w:r>
    </w:p>
    <w:p w14:paraId="791C0432" w14:textId="77777777" w:rsidR="00D534DE" w:rsidRDefault="00D534DE" w:rsidP="00D42799">
      <w:pPr>
        <w:pStyle w:val="ListParagraph"/>
        <w:spacing w:after="60"/>
        <w:ind w:left="0"/>
        <w:contextualSpacing w:val="0"/>
      </w:pPr>
      <w:r>
        <w:rPr>
          <w:rStyle w:val="ui-provider"/>
        </w:rPr>
        <w:t xml:space="preserve">At Minnesota State Services for the Blind (SSB) under the Department of Employment and Economic Development (DEED), we are committed to cultivating a culture that encourages collaboration, flexibility, and fairness to enable all individuals to contribute to their full potential. Our </w:t>
      </w:r>
      <w:r>
        <w:t>mission, philosophy, and values embody equitable access to, and participation in, the Vocational Rehabilitation Program. We have Accessibility Champions imbedded into our agency who are dedicated staff trained on accessibility. We celebrate diversity and strive for a staff complement that is reflective of our customer base. Our State Rehabilitation Council for the Blind (SRC-B) shares our commitment to diversity and has dedicated a committee to Diversity, Equity and Inclusion. DEED policies strictly prohibit any form of harassment or discrimination based on the following protected classes:</w:t>
      </w:r>
    </w:p>
    <w:p w14:paraId="42D9EEEB" w14:textId="77777777" w:rsidR="00D534DE" w:rsidRDefault="00D534DE" w:rsidP="00D534DE">
      <w:pPr>
        <w:pStyle w:val="ListParagraph"/>
        <w:numPr>
          <w:ilvl w:val="0"/>
          <w:numId w:val="83"/>
        </w:numPr>
        <w:ind w:left="1123"/>
      </w:pPr>
      <w:r>
        <w:t>Race</w:t>
      </w:r>
    </w:p>
    <w:p w14:paraId="3DAF97D8" w14:textId="77777777" w:rsidR="00D534DE" w:rsidRDefault="00D534DE" w:rsidP="00D534DE">
      <w:pPr>
        <w:pStyle w:val="ListParagraph"/>
        <w:numPr>
          <w:ilvl w:val="0"/>
          <w:numId w:val="83"/>
        </w:numPr>
      </w:pPr>
      <w:r>
        <w:t>Color</w:t>
      </w:r>
    </w:p>
    <w:p w14:paraId="14611795" w14:textId="77777777" w:rsidR="00D534DE" w:rsidRDefault="00D534DE" w:rsidP="00D534DE">
      <w:pPr>
        <w:pStyle w:val="ListParagraph"/>
        <w:numPr>
          <w:ilvl w:val="0"/>
          <w:numId w:val="83"/>
        </w:numPr>
      </w:pPr>
      <w:r>
        <w:t>Creed</w:t>
      </w:r>
    </w:p>
    <w:p w14:paraId="6BD267FF" w14:textId="77777777" w:rsidR="00D534DE" w:rsidRDefault="00D534DE" w:rsidP="00D534DE">
      <w:pPr>
        <w:pStyle w:val="ListParagraph"/>
        <w:numPr>
          <w:ilvl w:val="0"/>
          <w:numId w:val="83"/>
        </w:numPr>
      </w:pPr>
      <w:r>
        <w:t>Religion</w:t>
      </w:r>
    </w:p>
    <w:p w14:paraId="01EC9CAC" w14:textId="77777777" w:rsidR="00D534DE" w:rsidRDefault="00D534DE" w:rsidP="00D534DE">
      <w:pPr>
        <w:pStyle w:val="ListParagraph"/>
        <w:numPr>
          <w:ilvl w:val="0"/>
          <w:numId w:val="83"/>
        </w:numPr>
      </w:pPr>
      <w:r>
        <w:t>National origin</w:t>
      </w:r>
    </w:p>
    <w:p w14:paraId="6D432FD9" w14:textId="77777777" w:rsidR="00D534DE" w:rsidRDefault="00D534DE" w:rsidP="00D534DE">
      <w:pPr>
        <w:pStyle w:val="ListParagraph"/>
        <w:numPr>
          <w:ilvl w:val="0"/>
          <w:numId w:val="83"/>
        </w:numPr>
      </w:pPr>
      <w:r>
        <w:t>Sex* (includes pregnancy, childbirth, and related medical conditions)</w:t>
      </w:r>
    </w:p>
    <w:p w14:paraId="458F8EF8" w14:textId="77777777" w:rsidR="00D534DE" w:rsidRDefault="00D534DE" w:rsidP="00D534DE">
      <w:pPr>
        <w:pStyle w:val="ListParagraph"/>
        <w:numPr>
          <w:ilvl w:val="0"/>
          <w:numId w:val="83"/>
        </w:numPr>
      </w:pPr>
      <w:r>
        <w:t>Marital Status</w:t>
      </w:r>
    </w:p>
    <w:p w14:paraId="2F6CA9AB" w14:textId="77777777" w:rsidR="00D534DE" w:rsidRDefault="00D534DE" w:rsidP="00D534DE">
      <w:pPr>
        <w:pStyle w:val="ListParagraph"/>
        <w:numPr>
          <w:ilvl w:val="0"/>
          <w:numId w:val="83"/>
        </w:numPr>
      </w:pPr>
      <w:r>
        <w:t>Familial Status</w:t>
      </w:r>
    </w:p>
    <w:p w14:paraId="76B5DC56" w14:textId="77777777" w:rsidR="00D534DE" w:rsidRDefault="00D534DE" w:rsidP="00D534DE">
      <w:pPr>
        <w:pStyle w:val="ListParagraph"/>
        <w:numPr>
          <w:ilvl w:val="0"/>
          <w:numId w:val="83"/>
        </w:numPr>
      </w:pPr>
      <w:r>
        <w:t>Receipt of public assistance</w:t>
      </w:r>
    </w:p>
    <w:p w14:paraId="39D2B991" w14:textId="77777777" w:rsidR="00D534DE" w:rsidRDefault="00D534DE" w:rsidP="00D534DE">
      <w:pPr>
        <w:pStyle w:val="ListParagraph"/>
        <w:numPr>
          <w:ilvl w:val="0"/>
          <w:numId w:val="83"/>
        </w:numPr>
      </w:pPr>
      <w:r>
        <w:t>Membership or activity in a local human rights commission</w:t>
      </w:r>
    </w:p>
    <w:p w14:paraId="6425BFEC" w14:textId="77777777" w:rsidR="00D534DE" w:rsidRDefault="00D534DE" w:rsidP="00D534DE">
      <w:pPr>
        <w:pStyle w:val="ListParagraph"/>
        <w:numPr>
          <w:ilvl w:val="0"/>
          <w:numId w:val="83"/>
        </w:numPr>
      </w:pPr>
      <w:r>
        <w:t>Disability</w:t>
      </w:r>
    </w:p>
    <w:p w14:paraId="1740AF2E" w14:textId="77777777" w:rsidR="00D534DE" w:rsidRDefault="00D534DE" w:rsidP="00D534DE">
      <w:pPr>
        <w:pStyle w:val="ListParagraph"/>
        <w:numPr>
          <w:ilvl w:val="0"/>
          <w:numId w:val="83"/>
        </w:numPr>
      </w:pPr>
      <w:r>
        <w:t>Age</w:t>
      </w:r>
    </w:p>
    <w:p w14:paraId="278D4783" w14:textId="77777777" w:rsidR="00D534DE" w:rsidRDefault="00D534DE" w:rsidP="00D534DE">
      <w:pPr>
        <w:pStyle w:val="ListParagraph"/>
        <w:numPr>
          <w:ilvl w:val="0"/>
          <w:numId w:val="83"/>
        </w:numPr>
      </w:pPr>
      <w:r>
        <w:t>Sexual orientation</w:t>
      </w:r>
    </w:p>
    <w:p w14:paraId="71FD3139" w14:textId="77777777" w:rsidR="00D534DE" w:rsidRDefault="00D534DE" w:rsidP="00D534DE">
      <w:pPr>
        <w:pStyle w:val="ListParagraph"/>
        <w:numPr>
          <w:ilvl w:val="0"/>
          <w:numId w:val="83"/>
        </w:numPr>
      </w:pPr>
      <w:r>
        <w:t>Gender identity</w:t>
      </w:r>
    </w:p>
    <w:p w14:paraId="1956403C" w14:textId="77777777" w:rsidR="00D534DE" w:rsidRDefault="00D534DE" w:rsidP="00D534DE">
      <w:pPr>
        <w:pStyle w:val="ListParagraph"/>
        <w:numPr>
          <w:ilvl w:val="0"/>
          <w:numId w:val="83"/>
        </w:numPr>
      </w:pPr>
      <w:r>
        <w:t xml:space="preserve">Gender expression </w:t>
      </w:r>
    </w:p>
    <w:p w14:paraId="1CEB0043" w14:textId="77777777" w:rsidR="00D534DE" w:rsidRDefault="00D534DE" w:rsidP="00D534DE">
      <w:pPr>
        <w:pStyle w:val="ListParagraph"/>
        <w:numPr>
          <w:ilvl w:val="0"/>
          <w:numId w:val="83"/>
        </w:numPr>
        <w:spacing w:after="360"/>
        <w:ind w:left="1123"/>
        <w:contextualSpacing w:val="0"/>
      </w:pPr>
      <w:r>
        <w:t>For employees, genetic information</w:t>
      </w:r>
    </w:p>
    <w:p w14:paraId="7E75C23C" w14:textId="77777777" w:rsidR="00D534DE" w:rsidRPr="003A7EE5" w:rsidRDefault="00D534DE" w:rsidP="00D534DE">
      <w:pPr>
        <w:tabs>
          <w:tab w:val="left" w:pos="180"/>
        </w:tabs>
        <w:spacing w:after="120"/>
      </w:pPr>
      <w:r w:rsidRPr="003A7EE5">
        <w:t>2. Based on your proposed project or activity, what barriers may impede equitable access and participation of students, educators, or other beneficiaries?</w:t>
      </w:r>
    </w:p>
    <w:p w14:paraId="06A964F9" w14:textId="77777777" w:rsidR="00D534DE" w:rsidRDefault="00D534DE" w:rsidP="00D534DE">
      <w:pPr>
        <w:pStyle w:val="ListParagraph"/>
        <w:numPr>
          <w:ilvl w:val="0"/>
          <w:numId w:val="80"/>
        </w:numPr>
      </w:pPr>
      <w:r>
        <w:t xml:space="preserve">A lack of service providers is a significant barrier for assisting our customers and achieving successful outcomes. This is especially true for providers of: </w:t>
      </w:r>
    </w:p>
    <w:p w14:paraId="2B934A99" w14:textId="77777777" w:rsidR="00D534DE" w:rsidRDefault="00D534DE" w:rsidP="00D534DE">
      <w:pPr>
        <w:pStyle w:val="ListParagraph"/>
        <w:numPr>
          <w:ilvl w:val="1"/>
          <w:numId w:val="80"/>
        </w:numPr>
      </w:pPr>
      <w:r>
        <w:t>ELL and Braille</w:t>
      </w:r>
    </w:p>
    <w:p w14:paraId="4CA19484" w14:textId="77777777" w:rsidR="00D534DE" w:rsidRDefault="00D534DE" w:rsidP="00D534DE">
      <w:pPr>
        <w:pStyle w:val="ListParagraph"/>
        <w:numPr>
          <w:ilvl w:val="1"/>
          <w:numId w:val="80"/>
        </w:numPr>
      </w:pPr>
      <w:r>
        <w:t>Job Coaching</w:t>
      </w:r>
    </w:p>
    <w:p w14:paraId="6DCB69FC" w14:textId="77777777" w:rsidR="00D534DE" w:rsidRDefault="00D534DE" w:rsidP="00D534DE">
      <w:pPr>
        <w:pStyle w:val="ListParagraph"/>
        <w:numPr>
          <w:ilvl w:val="1"/>
          <w:numId w:val="80"/>
        </w:numPr>
      </w:pPr>
      <w:r>
        <w:t>Orientation and Mobility Instruction</w:t>
      </w:r>
    </w:p>
    <w:p w14:paraId="2FADE72D" w14:textId="77777777" w:rsidR="00D534DE" w:rsidRDefault="00D534DE" w:rsidP="00D534DE">
      <w:pPr>
        <w:pStyle w:val="ListParagraph"/>
        <w:numPr>
          <w:ilvl w:val="1"/>
          <w:numId w:val="80"/>
        </w:numPr>
      </w:pPr>
      <w:r>
        <w:t xml:space="preserve">DeafBlind Services </w:t>
      </w:r>
    </w:p>
    <w:p w14:paraId="3D8A824A" w14:textId="77777777" w:rsidR="00D534DE" w:rsidRDefault="00D534DE" w:rsidP="00D534DE">
      <w:pPr>
        <w:pStyle w:val="ListParagraph"/>
        <w:numPr>
          <w:ilvl w:val="1"/>
          <w:numId w:val="80"/>
        </w:numPr>
        <w:spacing w:after="60"/>
        <w:contextualSpacing w:val="0"/>
      </w:pPr>
      <w:r>
        <w:t xml:space="preserve">Services in Greater Minnesota </w:t>
      </w:r>
    </w:p>
    <w:p w14:paraId="05B51BAA" w14:textId="77777777" w:rsidR="00D534DE" w:rsidRDefault="00D534DE" w:rsidP="00D534DE">
      <w:pPr>
        <w:pStyle w:val="ListParagraph"/>
        <w:numPr>
          <w:ilvl w:val="0"/>
          <w:numId w:val="80"/>
        </w:numPr>
        <w:spacing w:after="60"/>
        <w:contextualSpacing w:val="0"/>
      </w:pPr>
      <w:r>
        <w:t xml:space="preserve">Racial and Cultural Disparities- Our data shows that there are more unsuccessful outcomes for individuals who are part of the BIPOC community, specifically new Americans and English Language Learners. Our customer satisfaction level is higher for individuals from BIPOC communities, showing that they are satisfied with the services they are getting, yet they are still not achieving employment outcomes. </w:t>
      </w:r>
    </w:p>
    <w:p w14:paraId="0FF306E0" w14:textId="77777777" w:rsidR="00D534DE" w:rsidRDefault="00D534DE" w:rsidP="00D534DE">
      <w:pPr>
        <w:pStyle w:val="ListParagraph"/>
        <w:numPr>
          <w:ilvl w:val="0"/>
          <w:numId w:val="80"/>
        </w:numPr>
        <w:spacing w:after="60"/>
        <w:contextualSpacing w:val="0"/>
      </w:pPr>
      <w:r>
        <w:lastRenderedPageBreak/>
        <w:t xml:space="preserve">Students who have multiple challenges may have many barriers since their primary disability may not be vision loss. SSB specializes in blindness rather than other disabilities. Therefore, we need to seek partners who can augment the programs with support for those students.     </w:t>
      </w:r>
    </w:p>
    <w:p w14:paraId="795B891A" w14:textId="77777777" w:rsidR="00D534DE" w:rsidRDefault="00D534DE" w:rsidP="00D534DE">
      <w:pPr>
        <w:pStyle w:val="ListParagraph"/>
        <w:numPr>
          <w:ilvl w:val="0"/>
          <w:numId w:val="80"/>
        </w:numPr>
        <w:spacing w:after="360"/>
        <w:contextualSpacing w:val="0"/>
      </w:pPr>
      <w:r w:rsidRPr="00E175AA">
        <w:t>SSB uses Title I funds to provide SE services and is declining to receive FFY2024 S</w:t>
      </w:r>
      <w:r>
        <w:t xml:space="preserve">upported </w:t>
      </w:r>
      <w:r w:rsidRPr="00E175AA">
        <w:t>E</w:t>
      </w:r>
      <w:r>
        <w:t>mployment (SE)</w:t>
      </w:r>
      <w:r w:rsidRPr="00E175AA">
        <w:t xml:space="preserve"> funds. SSB </w:t>
      </w:r>
      <w:r>
        <w:t>has chosen to decline</w:t>
      </w:r>
      <w:r w:rsidRPr="00E175AA">
        <w:t xml:space="preserve"> </w:t>
      </w:r>
      <w:r>
        <w:t xml:space="preserve">SE </w:t>
      </w:r>
      <w:r w:rsidRPr="00E175AA">
        <w:t>dollars</w:t>
      </w:r>
      <w:r>
        <w:t xml:space="preserve"> because the</w:t>
      </w:r>
      <w:r w:rsidRPr="00E175AA">
        <w:t xml:space="preserve"> requirements for using </w:t>
      </w:r>
      <w:r>
        <w:t>these funds</w:t>
      </w:r>
      <w:r w:rsidRPr="00E175AA">
        <w:t xml:space="preserve"> are too restrictive. These funds have youth matching requirements, and the funds can only be used once the individual enters employment. Youth with significant disabilities often require more in-depth and comprehensive training before they are</w:t>
      </w:r>
      <w:r>
        <w:t xml:space="preserve"> </w:t>
      </w:r>
      <w:r w:rsidRPr="00E175AA">
        <w:t>ready</w:t>
      </w:r>
      <w:r>
        <w:t xml:space="preserve"> and able</w:t>
      </w:r>
      <w:r w:rsidRPr="00E175AA">
        <w:t xml:space="preserve"> to enter into employment</w:t>
      </w:r>
      <w:r>
        <w:t>.</w:t>
      </w:r>
      <w:r w:rsidRPr="00E175AA">
        <w:t xml:space="preserve"> </w:t>
      </w:r>
      <w:r>
        <w:t>Often,</w:t>
      </w:r>
      <w:r w:rsidRPr="00E175AA">
        <w:t xml:space="preserve"> they are over the age of 25 by the time this occurs. Should there be flexibility on when the funds can be used and a change to the supported youth matching requirements, SSB will revisit </w:t>
      </w:r>
      <w:r>
        <w:t>this decision</w:t>
      </w:r>
      <w:r w:rsidRPr="00E175AA">
        <w:t>.</w:t>
      </w:r>
    </w:p>
    <w:p w14:paraId="47A7A075" w14:textId="77777777" w:rsidR="00D534DE" w:rsidRDefault="00D534DE" w:rsidP="00D534DE">
      <w:pPr>
        <w:pStyle w:val="ListParagraph"/>
        <w:numPr>
          <w:ilvl w:val="2"/>
          <w:numId w:val="78"/>
        </w:numPr>
        <w:spacing w:after="60"/>
        <w:ind w:left="187" w:hanging="187"/>
        <w:contextualSpacing w:val="0"/>
      </w:pPr>
      <w:r>
        <w:t>Based on the barriers SSB has identified, there are many steps we are taking to address barriers:</w:t>
      </w:r>
    </w:p>
    <w:p w14:paraId="04C385A5" w14:textId="77777777" w:rsidR="00D534DE" w:rsidRDefault="00D534DE" w:rsidP="00D534DE">
      <w:pPr>
        <w:pStyle w:val="ListParagraph"/>
        <w:numPr>
          <w:ilvl w:val="0"/>
          <w:numId w:val="81"/>
        </w:numPr>
        <w:spacing w:after="60"/>
        <w:ind w:left="720"/>
        <w:contextualSpacing w:val="0"/>
      </w:pPr>
      <w:r>
        <w:t xml:space="preserve">Continue working with DEED Human Resources Department to improve the hiring process by removing barriers and increasing equitable access such as removing driver’s license requirements. </w:t>
      </w:r>
    </w:p>
    <w:p w14:paraId="5BEAB5F3" w14:textId="77777777" w:rsidR="00D534DE" w:rsidRDefault="00D534DE" w:rsidP="00D534DE">
      <w:pPr>
        <w:pStyle w:val="ListParagraph"/>
        <w:numPr>
          <w:ilvl w:val="0"/>
          <w:numId w:val="81"/>
        </w:numPr>
        <w:spacing w:after="60"/>
        <w:ind w:left="720"/>
        <w:contextualSpacing w:val="0"/>
      </w:pPr>
      <w:r>
        <w:t xml:space="preserve">Seeking to have a staff complement that reflects our customers base. SSB has a high percentage of staff who are blind, visually impaired, or DeafBlind and over the last few years, we have had an increased LGBTQ+ and BIPOC presence. </w:t>
      </w:r>
    </w:p>
    <w:p w14:paraId="56530F28" w14:textId="77777777" w:rsidR="00D534DE" w:rsidRDefault="00D534DE" w:rsidP="00D534DE">
      <w:pPr>
        <w:pStyle w:val="ListParagraph"/>
        <w:numPr>
          <w:ilvl w:val="0"/>
          <w:numId w:val="81"/>
        </w:numPr>
        <w:spacing w:after="60"/>
        <w:ind w:left="720"/>
        <w:contextualSpacing w:val="0"/>
      </w:pPr>
      <w:r>
        <w:t xml:space="preserve">Continue to champion and educate other state departments on the C700 program with the goal of increasing the number of Minnesotans with disabilities who are employed by the State. </w:t>
      </w:r>
    </w:p>
    <w:p w14:paraId="4B79503E" w14:textId="77777777" w:rsidR="00D534DE" w:rsidRDefault="00D534DE" w:rsidP="00D534DE">
      <w:pPr>
        <w:pStyle w:val="ListParagraph"/>
        <w:numPr>
          <w:ilvl w:val="0"/>
          <w:numId w:val="81"/>
        </w:numPr>
        <w:spacing w:after="60"/>
        <w:ind w:left="720"/>
        <w:contextualSpacing w:val="0"/>
      </w:pPr>
      <w:r>
        <w:t>Hire an ELL Instructor/Coordinator to help with basic English language skills for ELL customers.</w:t>
      </w:r>
    </w:p>
    <w:p w14:paraId="080824C8" w14:textId="77777777" w:rsidR="00D534DE" w:rsidRDefault="00D534DE" w:rsidP="00D534DE">
      <w:pPr>
        <w:pStyle w:val="ListParagraph"/>
        <w:numPr>
          <w:ilvl w:val="0"/>
          <w:numId w:val="81"/>
        </w:numPr>
        <w:ind w:left="720"/>
      </w:pPr>
      <w:r>
        <w:t xml:space="preserve">Develop and nurture old and new partnerships with entities that represent underserved groups, including; </w:t>
      </w:r>
    </w:p>
    <w:p w14:paraId="3B77C05B" w14:textId="77777777" w:rsidR="00D534DE" w:rsidRDefault="00D534DE" w:rsidP="00D534DE">
      <w:pPr>
        <w:pStyle w:val="ListParagraph"/>
        <w:numPr>
          <w:ilvl w:val="1"/>
          <w:numId w:val="81"/>
        </w:numPr>
      </w:pPr>
      <w:r>
        <w:t>organizations that serve veterans,</w:t>
      </w:r>
    </w:p>
    <w:p w14:paraId="7C1B49A2" w14:textId="77777777" w:rsidR="00D534DE" w:rsidRPr="003C2902" w:rsidRDefault="00D534DE" w:rsidP="00D534DE">
      <w:pPr>
        <w:numPr>
          <w:ilvl w:val="1"/>
          <w:numId w:val="81"/>
        </w:numPr>
        <w:spacing w:before="100" w:beforeAutospacing="1" w:after="100" w:afterAutospacing="1"/>
        <w:rPr>
          <w:rFonts w:eastAsia="Times New Roman" w:cstheme="minorHAnsi"/>
          <w:sz w:val="24"/>
          <w:szCs w:val="24"/>
        </w:rPr>
      </w:pPr>
      <w:r w:rsidRPr="003C2902">
        <w:rPr>
          <w:rFonts w:eastAsia="Times New Roman" w:cstheme="minorHAnsi"/>
          <w:sz w:val="24"/>
          <w:szCs w:val="24"/>
        </w:rPr>
        <w:t>communities of color,</w:t>
      </w:r>
    </w:p>
    <w:p w14:paraId="3DE4BF3E" w14:textId="77777777" w:rsidR="00D534DE" w:rsidRPr="003C2902" w:rsidRDefault="00D534DE" w:rsidP="00D534DE">
      <w:pPr>
        <w:numPr>
          <w:ilvl w:val="1"/>
          <w:numId w:val="81"/>
        </w:numPr>
        <w:spacing w:before="100" w:beforeAutospacing="1" w:after="100" w:afterAutospacing="1"/>
        <w:rPr>
          <w:rFonts w:eastAsia="Times New Roman" w:cstheme="minorHAnsi"/>
          <w:sz w:val="24"/>
          <w:szCs w:val="24"/>
        </w:rPr>
      </w:pPr>
      <w:r w:rsidRPr="003C2902">
        <w:rPr>
          <w:rFonts w:eastAsia="Times New Roman" w:cstheme="minorHAnsi"/>
          <w:sz w:val="24"/>
          <w:szCs w:val="24"/>
        </w:rPr>
        <w:t>English language learners</w:t>
      </w:r>
    </w:p>
    <w:p w14:paraId="0B897CE0" w14:textId="77777777" w:rsidR="00D534DE" w:rsidRPr="003C2902" w:rsidRDefault="00D534DE" w:rsidP="00D534DE">
      <w:pPr>
        <w:numPr>
          <w:ilvl w:val="1"/>
          <w:numId w:val="81"/>
        </w:numPr>
        <w:spacing w:before="100" w:beforeAutospacing="1" w:after="100" w:afterAutospacing="1"/>
        <w:rPr>
          <w:rFonts w:eastAsia="Times New Roman" w:cstheme="minorHAnsi"/>
          <w:sz w:val="24"/>
          <w:szCs w:val="24"/>
        </w:rPr>
      </w:pPr>
      <w:r w:rsidRPr="003C2902">
        <w:rPr>
          <w:rFonts w:eastAsia="Times New Roman" w:cstheme="minorHAnsi"/>
          <w:sz w:val="24"/>
          <w:szCs w:val="24"/>
        </w:rPr>
        <w:t>Tribal communities,</w:t>
      </w:r>
    </w:p>
    <w:p w14:paraId="34885E90" w14:textId="77777777" w:rsidR="00D534DE" w:rsidRPr="003C2902" w:rsidRDefault="00D534DE" w:rsidP="00D534DE">
      <w:pPr>
        <w:numPr>
          <w:ilvl w:val="1"/>
          <w:numId w:val="81"/>
        </w:numPr>
        <w:spacing w:before="100" w:beforeAutospacing="1" w:after="100" w:afterAutospacing="1"/>
        <w:rPr>
          <w:rFonts w:eastAsia="Times New Roman" w:cstheme="minorHAnsi"/>
          <w:sz w:val="24"/>
          <w:szCs w:val="24"/>
        </w:rPr>
      </w:pPr>
      <w:r w:rsidRPr="003C2902">
        <w:rPr>
          <w:rFonts w:eastAsia="Times New Roman" w:cstheme="minorHAnsi"/>
          <w:sz w:val="24"/>
          <w:szCs w:val="24"/>
        </w:rPr>
        <w:t>individuals with severe and persistent mental illness,</w:t>
      </w:r>
    </w:p>
    <w:p w14:paraId="6EA09533" w14:textId="77777777" w:rsidR="00D534DE" w:rsidRPr="003C2902" w:rsidRDefault="00D534DE" w:rsidP="00D534DE">
      <w:pPr>
        <w:numPr>
          <w:ilvl w:val="1"/>
          <w:numId w:val="81"/>
        </w:numPr>
        <w:spacing w:before="100" w:beforeAutospacing="1" w:after="100" w:afterAutospacing="1"/>
        <w:rPr>
          <w:rFonts w:eastAsia="Times New Roman" w:cstheme="minorHAnsi"/>
          <w:sz w:val="24"/>
          <w:szCs w:val="24"/>
        </w:rPr>
      </w:pPr>
      <w:r w:rsidRPr="003C2902">
        <w:rPr>
          <w:rFonts w:eastAsia="Times New Roman" w:cstheme="minorHAnsi"/>
          <w:sz w:val="24"/>
          <w:szCs w:val="24"/>
        </w:rPr>
        <w:t>justice involved,</w:t>
      </w:r>
    </w:p>
    <w:p w14:paraId="2188AC08" w14:textId="77777777" w:rsidR="00D534DE" w:rsidRPr="003C2902" w:rsidRDefault="00D534DE" w:rsidP="00D534DE">
      <w:pPr>
        <w:numPr>
          <w:ilvl w:val="1"/>
          <w:numId w:val="81"/>
        </w:numPr>
        <w:spacing w:before="100" w:beforeAutospacing="1" w:after="100" w:afterAutospacing="1"/>
        <w:rPr>
          <w:rFonts w:eastAsia="Times New Roman" w:cstheme="minorHAnsi"/>
          <w:sz w:val="24"/>
          <w:szCs w:val="24"/>
        </w:rPr>
      </w:pPr>
      <w:r w:rsidRPr="003C2902">
        <w:rPr>
          <w:rFonts w:eastAsia="Times New Roman" w:cstheme="minorHAnsi"/>
          <w:sz w:val="24"/>
          <w:szCs w:val="24"/>
        </w:rPr>
        <w:t>individuals with complex and significant disabilities, and</w:t>
      </w:r>
    </w:p>
    <w:p w14:paraId="133C74F8" w14:textId="77777777" w:rsidR="00D534DE" w:rsidRPr="000D67E6" w:rsidRDefault="00D534DE" w:rsidP="00D534DE">
      <w:pPr>
        <w:numPr>
          <w:ilvl w:val="1"/>
          <w:numId w:val="81"/>
        </w:numPr>
        <w:spacing w:before="100" w:beforeAutospacing="1" w:after="60"/>
        <w:rPr>
          <w:rFonts w:eastAsia="Times New Roman" w:cstheme="minorHAnsi"/>
          <w:sz w:val="24"/>
          <w:szCs w:val="24"/>
        </w:rPr>
      </w:pPr>
      <w:r w:rsidRPr="003C2902">
        <w:rPr>
          <w:rFonts w:eastAsia="Times New Roman" w:cstheme="minorHAnsi"/>
          <w:sz w:val="24"/>
          <w:szCs w:val="24"/>
        </w:rPr>
        <w:t>immigrants and refugees</w:t>
      </w:r>
      <w:r>
        <w:rPr>
          <w:rFonts w:eastAsia="Times New Roman" w:cstheme="minorHAnsi"/>
          <w:sz w:val="24"/>
          <w:szCs w:val="24"/>
        </w:rPr>
        <w:t xml:space="preserve">, </w:t>
      </w:r>
      <w:r>
        <w:t xml:space="preserve">especially East African </w:t>
      </w:r>
    </w:p>
    <w:p w14:paraId="115FFB34" w14:textId="77777777" w:rsidR="00D534DE" w:rsidRDefault="00D534DE" w:rsidP="00D534DE">
      <w:pPr>
        <w:pStyle w:val="ListParagraph"/>
        <w:numPr>
          <w:ilvl w:val="0"/>
          <w:numId w:val="81"/>
        </w:numPr>
        <w:spacing w:after="60"/>
        <w:contextualSpacing w:val="0"/>
      </w:pPr>
      <w:r>
        <w:t>Audio and written translations of agency materials by native speakers who are members of the minority and immigrant communities.</w:t>
      </w:r>
    </w:p>
    <w:p w14:paraId="2A34BAB5" w14:textId="77777777" w:rsidR="00D534DE" w:rsidRDefault="00D534DE" w:rsidP="00D534DE">
      <w:pPr>
        <w:pStyle w:val="ListParagraph"/>
        <w:numPr>
          <w:ilvl w:val="0"/>
          <w:numId w:val="81"/>
        </w:numPr>
        <w:spacing w:after="60"/>
        <w:contextualSpacing w:val="0"/>
      </w:pPr>
      <w:r>
        <w:t>Work with Community Partners to ensure they are armed with the resources they need to serve these communities.</w:t>
      </w:r>
    </w:p>
    <w:p w14:paraId="43EB69CD" w14:textId="77777777" w:rsidR="00D534DE" w:rsidRDefault="00D534DE" w:rsidP="00D534DE">
      <w:pPr>
        <w:pStyle w:val="ListParagraph"/>
        <w:numPr>
          <w:ilvl w:val="0"/>
          <w:numId w:val="81"/>
        </w:numPr>
        <w:spacing w:after="60"/>
        <w:contextualSpacing w:val="0"/>
      </w:pPr>
      <w:r>
        <w:t>Build up community liaisons that can help connect SSB with underserved Minnesotans.</w:t>
      </w:r>
    </w:p>
    <w:p w14:paraId="3946B238" w14:textId="77777777" w:rsidR="00D534DE" w:rsidRDefault="00D534DE" w:rsidP="00D534DE">
      <w:pPr>
        <w:pStyle w:val="ListParagraph"/>
        <w:numPr>
          <w:ilvl w:val="0"/>
          <w:numId w:val="81"/>
        </w:numPr>
        <w:spacing w:after="60"/>
        <w:contextualSpacing w:val="0"/>
      </w:pPr>
      <w:r>
        <w:t xml:space="preserve">Hired a second outreach coordinator to increase capacity and successful outcomes with messaging, outreach, and communication activities. </w:t>
      </w:r>
    </w:p>
    <w:p w14:paraId="682FD287" w14:textId="77777777" w:rsidR="00D534DE" w:rsidRDefault="00D534DE" w:rsidP="00D534DE">
      <w:pPr>
        <w:pStyle w:val="ListParagraph"/>
        <w:numPr>
          <w:ilvl w:val="0"/>
          <w:numId w:val="81"/>
        </w:numPr>
        <w:spacing w:after="360"/>
        <w:contextualSpacing w:val="0"/>
      </w:pPr>
      <w:r>
        <w:t>Continue working with DeafBlind ATB training centers by developing new contracts and expanding existing services to increase national DB training options and bring more DeafBlind training options to Minnesota.</w:t>
      </w:r>
    </w:p>
    <w:p w14:paraId="0DAC6A20" w14:textId="77777777" w:rsidR="00D534DE" w:rsidRDefault="00D534DE" w:rsidP="00D534DE">
      <w:pPr>
        <w:spacing w:after="120"/>
      </w:pPr>
      <w:r w:rsidRPr="003A7EE5">
        <w:t>4. What is your timeline, including targeted milestones, for addressing these identified barriers?</w:t>
      </w:r>
    </w:p>
    <w:p w14:paraId="2A700260" w14:textId="77777777" w:rsidR="00D534DE" w:rsidRDefault="00D534DE" w:rsidP="00D534DE">
      <w:pPr>
        <w:pStyle w:val="ListParagraph"/>
        <w:numPr>
          <w:ilvl w:val="0"/>
          <w:numId w:val="82"/>
        </w:numPr>
        <w:spacing w:after="60"/>
        <w:contextualSpacing w:val="0"/>
      </w:pPr>
      <w:r>
        <w:t xml:space="preserve">Throughout calendar year 2024, we will be addressing the ELL component as well as outreach to underserved communities. A second outreach coordinator has been hired, so we have more capacity for these outreach activities.  </w:t>
      </w:r>
    </w:p>
    <w:p w14:paraId="2617F1EC" w14:textId="77777777" w:rsidR="00D534DE" w:rsidRDefault="00D534DE" w:rsidP="00D534DE">
      <w:pPr>
        <w:pStyle w:val="ListParagraph"/>
        <w:numPr>
          <w:ilvl w:val="0"/>
          <w:numId w:val="82"/>
        </w:numPr>
        <w:spacing w:after="60"/>
        <w:contextualSpacing w:val="0"/>
      </w:pPr>
      <w:r>
        <w:t>Planning for audio and written translations of SSB materials will start in January 2024, with work anticipated to start in spring and completion by the end of summer.</w:t>
      </w:r>
    </w:p>
    <w:p w14:paraId="7FA8A46D" w14:textId="77777777" w:rsidR="00D534DE" w:rsidRDefault="00D534DE" w:rsidP="00D534DE">
      <w:pPr>
        <w:pStyle w:val="ListParagraph"/>
        <w:numPr>
          <w:ilvl w:val="0"/>
          <w:numId w:val="82"/>
        </w:numPr>
        <w:spacing w:after="60"/>
        <w:contextualSpacing w:val="0"/>
      </w:pPr>
      <w:r>
        <w:t xml:space="preserve">We are in the beginning stages of hiring an ELL Instructor/Coordinator. The position request has been sent to DEED HR and could take 2 – 3 months for review. The hiring process to post the position description, review submissions, make an offer, and complete onboarding and training is anticipated to take 6 – 8 months. </w:t>
      </w:r>
    </w:p>
    <w:p w14:paraId="03B8E48F" w14:textId="77777777" w:rsidR="00D534DE" w:rsidRDefault="00D534DE" w:rsidP="00D534DE">
      <w:pPr>
        <w:pStyle w:val="ListParagraph"/>
        <w:numPr>
          <w:ilvl w:val="0"/>
          <w:numId w:val="82"/>
        </w:numPr>
      </w:pPr>
      <w:r>
        <w:lastRenderedPageBreak/>
        <w:t xml:space="preserve">Developing a new contract with a DeafBlind ATB Training Center located outside of Minnesota could potentially take up to 4 months, but is dependent on several factors. The evaluation of a correctly submitted application and proposal takes 2 – 3 weeks. However, the negotiation and contract development phase takes more time.  </w:t>
      </w:r>
    </w:p>
    <w:p w14:paraId="55DF72D8" w14:textId="77777777" w:rsidR="00D534DE" w:rsidRDefault="00D534DE" w:rsidP="00370F0D">
      <w:pPr>
        <w:spacing w:after="240"/>
      </w:pPr>
    </w:p>
    <w:p w14:paraId="7BB39FC4" w14:textId="77777777" w:rsidR="00A10CE0" w:rsidRDefault="00A10CE0" w:rsidP="00EB5906">
      <w:pPr>
        <w:ind w:left="1440"/>
      </w:pPr>
    </w:p>
    <w:p w14:paraId="34F7F1F0" w14:textId="77777777" w:rsidR="0090780D" w:rsidRPr="006C6124" w:rsidRDefault="00060AFA">
      <w:pPr>
        <w:rPr>
          <w:rFonts w:ascii="Calibri" w:hAnsi="Calibri" w:cs="Calibri"/>
        </w:rPr>
      </w:pPr>
    </w:p>
    <w:sectPr w:rsidR="0090780D" w:rsidRPr="006C6124" w:rsidSect="00C3126A">
      <w:footerReference w:type="default" r:id="rId15"/>
      <w:pgSz w:w="12240" w:h="15840"/>
      <w:pgMar w:top="720" w:right="720" w:bottom="720" w:left="9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5584" w14:textId="77777777" w:rsidR="00C11F3B" w:rsidRDefault="00C11F3B" w:rsidP="00D0706C">
      <w:r>
        <w:separator/>
      </w:r>
    </w:p>
  </w:endnote>
  <w:endnote w:type="continuationSeparator" w:id="0">
    <w:p w14:paraId="167D24B9" w14:textId="77777777" w:rsidR="00C11F3B" w:rsidRDefault="00C11F3B" w:rsidP="00D0706C">
      <w:r>
        <w:continuationSeparator/>
      </w:r>
    </w:p>
  </w:endnote>
  <w:endnote w:type="continuationNotice" w:id="1">
    <w:p w14:paraId="64B2DD34" w14:textId="77777777" w:rsidR="00C11F3B" w:rsidRDefault="00C1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314899"/>
      <w:docPartObj>
        <w:docPartGallery w:val="Page Numbers (Bottom of Page)"/>
        <w:docPartUnique/>
      </w:docPartObj>
    </w:sdtPr>
    <w:sdtEndPr/>
    <w:sdtContent>
      <w:sdt>
        <w:sdtPr>
          <w:id w:val="1728636285"/>
          <w:docPartObj>
            <w:docPartGallery w:val="Page Numbers (Top of Page)"/>
            <w:docPartUnique/>
          </w:docPartObj>
        </w:sdtPr>
        <w:sdtEndPr/>
        <w:sdtContent>
          <w:p w14:paraId="5BF6AFF1" w14:textId="26B0E40B" w:rsidR="002D409A" w:rsidRDefault="002D40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B1B333" w14:textId="77777777" w:rsidR="002D409A" w:rsidRDefault="002D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C804" w14:textId="77777777" w:rsidR="00C11F3B" w:rsidRDefault="00C11F3B" w:rsidP="00D0706C">
      <w:r>
        <w:separator/>
      </w:r>
    </w:p>
  </w:footnote>
  <w:footnote w:type="continuationSeparator" w:id="0">
    <w:p w14:paraId="20321E3C" w14:textId="77777777" w:rsidR="00C11F3B" w:rsidRDefault="00C11F3B" w:rsidP="00D0706C">
      <w:r>
        <w:continuationSeparator/>
      </w:r>
    </w:p>
  </w:footnote>
  <w:footnote w:type="continuationNotice" w:id="1">
    <w:p w14:paraId="57981DBE" w14:textId="77777777" w:rsidR="00C11F3B" w:rsidRDefault="00C11F3B"/>
  </w:footnote>
  <w:footnote w:id="2">
    <w:p w14:paraId="68C9666D" w14:textId="77777777" w:rsidR="00D0706C" w:rsidRPr="00221ABF" w:rsidRDefault="00D0706C" w:rsidP="00D0706C">
      <w:pPr>
        <w:ind w:left="180" w:hanging="180"/>
        <w:rPr>
          <w:sz w:val="16"/>
          <w:szCs w:val="16"/>
        </w:rPr>
      </w:pPr>
      <w:r w:rsidRPr="00221ABF">
        <w:rPr>
          <w:rStyle w:val="FootnoteReference"/>
        </w:rPr>
        <w:footnoteRef/>
      </w:r>
      <w:r w:rsidRPr="00221ABF">
        <w:rPr>
          <w:sz w:val="16"/>
          <w:szCs w:val="16"/>
        </w:rPr>
        <w:t xml:space="preserve"> Public Law 113-128.</w:t>
      </w:r>
    </w:p>
  </w:footnote>
  <w:footnote w:id="3">
    <w:p w14:paraId="116B58A4" w14:textId="77777777" w:rsidR="00D0706C" w:rsidRPr="00CF6E36" w:rsidRDefault="00D0706C" w:rsidP="00D0706C">
      <w:pPr>
        <w:pStyle w:val="FootnoteText"/>
        <w:rPr>
          <w:sz w:val="18"/>
          <w:szCs w:val="18"/>
        </w:rPr>
      </w:pPr>
      <w:r w:rsidRPr="00221ABF">
        <w:rPr>
          <w:rStyle w:val="FootnoteReference"/>
        </w:rPr>
        <w:footnoteRef/>
      </w:r>
      <w:r w:rsidRPr="00221ABF">
        <w:rPr>
          <w:rFonts w:ascii="Cambria" w:hAnsi="Cambria"/>
          <w:sz w:val="16"/>
          <w:szCs w:val="16"/>
        </w:rPr>
        <w:t xml:space="preserve"> All references in this plan to "designated State agency" or to "the State agency" relate to the agency identified in this paragraph.</w:t>
      </w:r>
    </w:p>
  </w:footnote>
  <w:footnote w:id="4">
    <w:p w14:paraId="5E34346A" w14:textId="77777777" w:rsidR="00D0706C" w:rsidRPr="00221ABF" w:rsidRDefault="00D0706C" w:rsidP="00D0706C">
      <w:pPr>
        <w:ind w:left="180" w:hanging="180"/>
        <w:rPr>
          <w:sz w:val="16"/>
          <w:szCs w:val="16"/>
        </w:rPr>
      </w:pPr>
      <w:r w:rsidRPr="00221ABF">
        <w:rPr>
          <w:rStyle w:val="FootnoteReference"/>
        </w:rPr>
        <w:footnoteRef/>
      </w:r>
      <w:r w:rsidRPr="00221ABF">
        <w:rPr>
          <w:sz w:val="16"/>
          <w:szCs w:val="16"/>
        </w:rPr>
        <w:t xml:space="preserve"> No funds under title I of the Rehabilitation Act may be awarded without an approved VR services portion of the Unified or Combined State Plan in accordance with section 101(a) of the Rehabilitation Act.</w:t>
      </w:r>
    </w:p>
  </w:footnote>
  <w:footnote w:id="5">
    <w:p w14:paraId="13CBA020" w14:textId="77777777" w:rsidR="00D0706C" w:rsidRPr="00B35153" w:rsidRDefault="00D0706C" w:rsidP="00D0706C">
      <w:pPr>
        <w:ind w:left="180" w:hanging="180"/>
        <w:rPr>
          <w:b/>
          <w:sz w:val="16"/>
          <w:szCs w:val="16"/>
        </w:rPr>
      </w:pPr>
      <w:r w:rsidRPr="00221ABF">
        <w:rPr>
          <w:rStyle w:val="FootnoteReference"/>
        </w:rPr>
        <w:footnoteRef/>
      </w:r>
      <w:r w:rsidRPr="00221ABF">
        <w:rPr>
          <w:sz w:val="16"/>
          <w:szCs w:val="16"/>
        </w:rPr>
        <w:t xml:space="preserve"> Applicable regulations, in part, include the Education Department General Administrative Regulations (EDGAR) in 34 CFR parts 76, 77, 79, 81, and 82; 2 CFR part 200 as adopted by 2 CFR part 34</w:t>
      </w:r>
      <w:r>
        <w:rPr>
          <w:sz w:val="16"/>
          <w:szCs w:val="16"/>
        </w:rPr>
        <w:t>74</w:t>
      </w:r>
      <w:r w:rsidRPr="00221ABF">
        <w:rPr>
          <w:sz w:val="16"/>
          <w:szCs w:val="16"/>
        </w:rPr>
        <w:t xml:space="preserve">; and the State VR Services </w:t>
      </w:r>
      <w:r>
        <w:rPr>
          <w:sz w:val="16"/>
          <w:szCs w:val="16"/>
        </w:rPr>
        <w:t>p</w:t>
      </w:r>
      <w:r w:rsidRPr="00221ABF">
        <w:rPr>
          <w:sz w:val="16"/>
          <w:szCs w:val="16"/>
        </w:rPr>
        <w:t>rogram regulations</w:t>
      </w:r>
      <w:r>
        <w:rPr>
          <w:sz w:val="16"/>
          <w:szCs w:val="16"/>
        </w:rPr>
        <w:t xml:space="preserve"> at 34 CFR part 361</w:t>
      </w:r>
      <w:r w:rsidRPr="00221ABF">
        <w:rPr>
          <w:sz w:val="16"/>
          <w:szCs w:val="16"/>
        </w:rPr>
        <w:t>.</w:t>
      </w:r>
      <w:r>
        <w:rPr>
          <w:sz w:val="16"/>
          <w:szCs w:val="16"/>
        </w:rPr>
        <w:t xml:space="preserve"> </w:t>
      </w:r>
    </w:p>
  </w:footnote>
  <w:footnote w:id="6">
    <w:p w14:paraId="05CAA865" w14:textId="77777777" w:rsidR="00D0706C" w:rsidRPr="00221ABF" w:rsidRDefault="00D0706C" w:rsidP="00D0706C">
      <w:pPr>
        <w:ind w:left="180" w:hanging="180"/>
        <w:rPr>
          <w:sz w:val="16"/>
          <w:szCs w:val="16"/>
        </w:rPr>
      </w:pPr>
      <w:r w:rsidRPr="00221ABF">
        <w:rPr>
          <w:rStyle w:val="FootnoteReference"/>
        </w:rPr>
        <w:footnoteRef/>
      </w:r>
      <w:r w:rsidRPr="00221ABF">
        <w:rPr>
          <w:sz w:val="16"/>
          <w:szCs w:val="16"/>
        </w:rPr>
        <w:t xml:space="preserve"> No funds under title VI of the Rehabilitation Act may be awarded without an approved </w:t>
      </w:r>
      <w:r>
        <w:rPr>
          <w:sz w:val="16"/>
          <w:szCs w:val="16"/>
        </w:rPr>
        <w:t xml:space="preserve">supported employment </w:t>
      </w:r>
      <w:r w:rsidRPr="00221ABF">
        <w:rPr>
          <w:sz w:val="16"/>
          <w:szCs w:val="16"/>
        </w:rPr>
        <w:t>supplement to the VR services portion of the Unified or Combined State Plan in accordance with section 606(a) of the Rehabilitation Act.</w:t>
      </w:r>
    </w:p>
  </w:footnote>
  <w:footnote w:id="7">
    <w:p w14:paraId="4AAAEA15" w14:textId="77777777" w:rsidR="00D0706C" w:rsidRPr="00771364" w:rsidRDefault="00D0706C" w:rsidP="00D0706C">
      <w:pPr>
        <w:pStyle w:val="PlainText"/>
        <w:rPr>
          <w:rFonts w:ascii="Cambria" w:hAnsi="Cambria"/>
          <w:sz w:val="16"/>
          <w:szCs w:val="16"/>
        </w:rPr>
      </w:pPr>
      <w:r w:rsidRPr="00221ABF">
        <w:rPr>
          <w:rStyle w:val="FootnoteReference"/>
          <w:rFonts w:eastAsia="Times New Roman"/>
        </w:rPr>
        <w:footnoteRef/>
      </w:r>
      <w:r w:rsidRPr="00221ABF">
        <w:rPr>
          <w:rFonts w:ascii="Cambria" w:hAnsi="Cambria"/>
          <w:sz w:val="16"/>
          <w:szCs w:val="16"/>
        </w:rPr>
        <w:t>Applicable regulations, in part, inclu</w:t>
      </w:r>
      <w:r>
        <w:rPr>
          <w:rFonts w:ascii="Cambria" w:hAnsi="Cambria"/>
          <w:sz w:val="16"/>
          <w:szCs w:val="16"/>
        </w:rPr>
        <w:t>de the citations in footnote 4, as well as Supported Employment program regulations at 34 CFR part 363.</w:t>
      </w:r>
    </w:p>
  </w:footnote>
  <w:footnote w:id="8">
    <w:p w14:paraId="75414DCB" w14:textId="77777777" w:rsidR="00161B49" w:rsidRDefault="00161B49" w:rsidP="00F40DDE">
      <w:pPr>
        <w:pStyle w:val="footnotedescription"/>
        <w:jc w:val="both"/>
      </w:pPr>
    </w:p>
  </w:footnote>
</w:footnotes>
</file>

<file path=word/intelligence2.xml><?xml version="1.0" encoding="utf-8"?>
<int2:intelligence xmlns:int2="http://schemas.microsoft.com/office/intelligence/2020/intelligence" xmlns:oel="http://schemas.microsoft.com/office/2019/extlst">
  <int2:observations>
    <int2:bookmark int2:bookmarkName="_Int_3OGSYNsR" int2:invalidationBookmarkName="" int2:hashCode="75UdP5EJb6v5CF" int2:id="vXjIAvQh">
      <int2:state int2:value="Rejected" int2:type="WordDesignerDefaultAnnotation"/>
    </int2:bookmark>
    <int2:bookmark int2:bookmarkName="_Int_p2SJ67La" int2:invalidationBookmarkName="" int2:hashCode="iJISzJSniQMwAS" int2:id="GYh2o9FL">
      <int2:state int2:value="Rejected" int2:type="WordDesignerDefaultAnnotation"/>
    </int2:bookmark>
    <int2:bookmark int2:bookmarkName="_Int_3BwGcB1c" int2:invalidationBookmarkName="" int2:hashCode="75UdP5EJb6v5CF" int2:id="QSwBMfwj">
      <int2:state int2:value="Rejected" int2:type="WordDesignerDefaultAnnotation"/>
    </int2:bookmark>
    <int2:bookmark int2:bookmarkName="_Int_e9vNNOgR" int2:invalidationBookmarkName="" int2:hashCode="0lXQ0GySJQ8tJA" int2:id="UhipdKn9">
      <int2:state int2:value="Rejected" int2:type="LegacyProofing"/>
    </int2:bookmark>
    <int2:bookmark int2:bookmarkName="_Int_gKNqHh3X" int2:invalidationBookmarkName="" int2:hashCode="iJISzJSniQMwAS" int2:id="aGrrncVE">
      <int2:state int2:value="Rejected" int2:type="WordDesignerDefaultAnnotation"/>
    </int2:bookmark>
    <int2:bookmark int2:bookmarkName="_Int_UV8cP6UD" int2:invalidationBookmarkName="" int2:hashCode="pH+oVYoNwR3TA4" int2:id="eszpr5x3">
      <int2:state int2:value="Rejected" int2:type="WordDesignerDefaultAnnotation"/>
    </int2:bookmark>
    <int2:bookmark int2:bookmarkName="_Int_5qSOgaqs" int2:invalidationBookmarkName="" int2:hashCode="pH+oVYoNwR3TA4" int2:id="mK1MF2s3">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CB5F5E"/>
    <w:multiLevelType w:val="hybridMultilevel"/>
    <w:tmpl w:val="724C3056"/>
    <w:lvl w:ilvl="0" w:tplc="FFFFFFFF">
      <w:start w:val="1"/>
      <w:numFmt w:val="decimal"/>
      <w:lvlText w:val="%1."/>
      <w:lvlJc w:val="left"/>
    </w:lvl>
    <w:lvl w:ilvl="1" w:tplc="5B321E86">
      <w:start w:val="1"/>
      <w:numFmt w:val="bullet"/>
      <w:lvlText w:val=""/>
      <w:lvlJc w:val="left"/>
      <w:pPr>
        <w:ind w:left="710" w:hanging="360"/>
      </w:pPr>
      <w:rPr>
        <w:rFonts w:ascii="Symbol" w:hAnsi="Symbol" w:cs="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D3CB1"/>
    <w:multiLevelType w:val="multilevel"/>
    <w:tmpl w:val="094E6B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25C85"/>
    <w:multiLevelType w:val="hybridMultilevel"/>
    <w:tmpl w:val="D84C5BF8"/>
    <w:lvl w:ilvl="0" w:tplc="9C1685C8">
      <w:start w:val="1"/>
      <w:numFmt w:val="bullet"/>
      <w:lvlText w:val="·"/>
      <w:lvlJc w:val="left"/>
      <w:pPr>
        <w:ind w:left="720" w:hanging="360"/>
      </w:pPr>
      <w:rPr>
        <w:rFonts w:ascii="Symbol" w:hAnsi="Symbol" w:hint="default"/>
      </w:rPr>
    </w:lvl>
    <w:lvl w:ilvl="1" w:tplc="D1EC0C4E">
      <w:start w:val="1"/>
      <w:numFmt w:val="bullet"/>
      <w:lvlText w:val="o"/>
      <w:lvlJc w:val="left"/>
      <w:pPr>
        <w:ind w:left="1440" w:hanging="360"/>
      </w:pPr>
      <w:rPr>
        <w:rFonts w:ascii="Courier New" w:hAnsi="Courier New" w:hint="default"/>
      </w:rPr>
    </w:lvl>
    <w:lvl w:ilvl="2" w:tplc="89FC0474">
      <w:start w:val="1"/>
      <w:numFmt w:val="bullet"/>
      <w:lvlText w:val=""/>
      <w:lvlJc w:val="left"/>
      <w:pPr>
        <w:ind w:left="2160" w:hanging="360"/>
      </w:pPr>
      <w:rPr>
        <w:rFonts w:ascii="Wingdings" w:hAnsi="Wingdings" w:hint="default"/>
      </w:rPr>
    </w:lvl>
    <w:lvl w:ilvl="3" w:tplc="4F8E53A0">
      <w:start w:val="1"/>
      <w:numFmt w:val="bullet"/>
      <w:lvlText w:val=""/>
      <w:lvlJc w:val="left"/>
      <w:pPr>
        <w:ind w:left="2880" w:hanging="360"/>
      </w:pPr>
      <w:rPr>
        <w:rFonts w:ascii="Symbol" w:hAnsi="Symbol" w:hint="default"/>
      </w:rPr>
    </w:lvl>
    <w:lvl w:ilvl="4" w:tplc="9C5C14BC">
      <w:start w:val="1"/>
      <w:numFmt w:val="bullet"/>
      <w:lvlText w:val="o"/>
      <w:lvlJc w:val="left"/>
      <w:pPr>
        <w:ind w:left="3600" w:hanging="360"/>
      </w:pPr>
      <w:rPr>
        <w:rFonts w:ascii="Courier New" w:hAnsi="Courier New" w:hint="default"/>
      </w:rPr>
    </w:lvl>
    <w:lvl w:ilvl="5" w:tplc="CFB4D216">
      <w:start w:val="1"/>
      <w:numFmt w:val="bullet"/>
      <w:lvlText w:val=""/>
      <w:lvlJc w:val="left"/>
      <w:pPr>
        <w:ind w:left="4320" w:hanging="360"/>
      </w:pPr>
      <w:rPr>
        <w:rFonts w:ascii="Wingdings" w:hAnsi="Wingdings" w:hint="default"/>
      </w:rPr>
    </w:lvl>
    <w:lvl w:ilvl="6" w:tplc="2390D046">
      <w:start w:val="1"/>
      <w:numFmt w:val="bullet"/>
      <w:lvlText w:val=""/>
      <w:lvlJc w:val="left"/>
      <w:pPr>
        <w:ind w:left="5040" w:hanging="360"/>
      </w:pPr>
      <w:rPr>
        <w:rFonts w:ascii="Symbol" w:hAnsi="Symbol" w:hint="default"/>
      </w:rPr>
    </w:lvl>
    <w:lvl w:ilvl="7" w:tplc="C77EE518">
      <w:start w:val="1"/>
      <w:numFmt w:val="bullet"/>
      <w:lvlText w:val="o"/>
      <w:lvlJc w:val="left"/>
      <w:pPr>
        <w:ind w:left="5760" w:hanging="360"/>
      </w:pPr>
      <w:rPr>
        <w:rFonts w:ascii="Courier New" w:hAnsi="Courier New" w:hint="default"/>
      </w:rPr>
    </w:lvl>
    <w:lvl w:ilvl="8" w:tplc="87BA53BC">
      <w:start w:val="1"/>
      <w:numFmt w:val="bullet"/>
      <w:lvlText w:val=""/>
      <w:lvlJc w:val="left"/>
      <w:pPr>
        <w:ind w:left="6480" w:hanging="360"/>
      </w:pPr>
      <w:rPr>
        <w:rFonts w:ascii="Wingdings" w:hAnsi="Wingdings" w:hint="default"/>
      </w:rPr>
    </w:lvl>
  </w:abstractNum>
  <w:abstractNum w:abstractNumId="3" w15:restartNumberingAfterBreak="0">
    <w:nsid w:val="057F0D5E"/>
    <w:multiLevelType w:val="hybridMultilevel"/>
    <w:tmpl w:val="9BAA6594"/>
    <w:lvl w:ilvl="0" w:tplc="16CCF37C">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92958"/>
    <w:multiLevelType w:val="hybridMultilevel"/>
    <w:tmpl w:val="CCE62EDC"/>
    <w:lvl w:ilvl="0" w:tplc="1BD29F16">
      <w:start w:val="1"/>
      <w:numFmt w:val="bullet"/>
      <w:lvlText w:val="·"/>
      <w:lvlJc w:val="left"/>
      <w:pPr>
        <w:ind w:left="720" w:hanging="360"/>
      </w:pPr>
      <w:rPr>
        <w:rFonts w:ascii="Symbol" w:hAnsi="Symbol" w:hint="default"/>
      </w:rPr>
    </w:lvl>
    <w:lvl w:ilvl="1" w:tplc="BBB6BFBA">
      <w:start w:val="1"/>
      <w:numFmt w:val="bullet"/>
      <w:lvlText w:val="o"/>
      <w:lvlJc w:val="left"/>
      <w:pPr>
        <w:ind w:left="1440" w:hanging="360"/>
      </w:pPr>
      <w:rPr>
        <w:rFonts w:ascii="Courier New" w:hAnsi="Courier New" w:hint="default"/>
      </w:rPr>
    </w:lvl>
    <w:lvl w:ilvl="2" w:tplc="E5FA3908">
      <w:start w:val="1"/>
      <w:numFmt w:val="bullet"/>
      <w:lvlText w:val=""/>
      <w:lvlJc w:val="left"/>
      <w:pPr>
        <w:ind w:left="2160" w:hanging="360"/>
      </w:pPr>
      <w:rPr>
        <w:rFonts w:ascii="Wingdings" w:hAnsi="Wingdings" w:hint="default"/>
      </w:rPr>
    </w:lvl>
    <w:lvl w:ilvl="3" w:tplc="3DAC8308">
      <w:start w:val="1"/>
      <w:numFmt w:val="bullet"/>
      <w:lvlText w:val=""/>
      <w:lvlJc w:val="left"/>
      <w:pPr>
        <w:ind w:left="2880" w:hanging="360"/>
      </w:pPr>
      <w:rPr>
        <w:rFonts w:ascii="Symbol" w:hAnsi="Symbol" w:hint="default"/>
      </w:rPr>
    </w:lvl>
    <w:lvl w:ilvl="4" w:tplc="50B0E2DC">
      <w:start w:val="1"/>
      <w:numFmt w:val="bullet"/>
      <w:lvlText w:val="o"/>
      <w:lvlJc w:val="left"/>
      <w:pPr>
        <w:ind w:left="3600" w:hanging="360"/>
      </w:pPr>
      <w:rPr>
        <w:rFonts w:ascii="Courier New" w:hAnsi="Courier New" w:hint="default"/>
      </w:rPr>
    </w:lvl>
    <w:lvl w:ilvl="5" w:tplc="C5E8EDC4">
      <w:start w:val="1"/>
      <w:numFmt w:val="bullet"/>
      <w:lvlText w:val=""/>
      <w:lvlJc w:val="left"/>
      <w:pPr>
        <w:ind w:left="4320" w:hanging="360"/>
      </w:pPr>
      <w:rPr>
        <w:rFonts w:ascii="Wingdings" w:hAnsi="Wingdings" w:hint="default"/>
      </w:rPr>
    </w:lvl>
    <w:lvl w:ilvl="6" w:tplc="F6362192">
      <w:start w:val="1"/>
      <w:numFmt w:val="bullet"/>
      <w:lvlText w:val=""/>
      <w:lvlJc w:val="left"/>
      <w:pPr>
        <w:ind w:left="5040" w:hanging="360"/>
      </w:pPr>
      <w:rPr>
        <w:rFonts w:ascii="Symbol" w:hAnsi="Symbol" w:hint="default"/>
      </w:rPr>
    </w:lvl>
    <w:lvl w:ilvl="7" w:tplc="3C864226">
      <w:start w:val="1"/>
      <w:numFmt w:val="bullet"/>
      <w:lvlText w:val="o"/>
      <w:lvlJc w:val="left"/>
      <w:pPr>
        <w:ind w:left="5760" w:hanging="360"/>
      </w:pPr>
      <w:rPr>
        <w:rFonts w:ascii="Courier New" w:hAnsi="Courier New" w:hint="default"/>
      </w:rPr>
    </w:lvl>
    <w:lvl w:ilvl="8" w:tplc="2C202952">
      <w:start w:val="1"/>
      <w:numFmt w:val="bullet"/>
      <w:lvlText w:val=""/>
      <w:lvlJc w:val="left"/>
      <w:pPr>
        <w:ind w:left="6480" w:hanging="360"/>
      </w:pPr>
      <w:rPr>
        <w:rFonts w:ascii="Wingdings" w:hAnsi="Wingdings" w:hint="default"/>
      </w:rPr>
    </w:lvl>
  </w:abstractNum>
  <w:abstractNum w:abstractNumId="5" w15:restartNumberingAfterBreak="0">
    <w:nsid w:val="06A15DB8"/>
    <w:multiLevelType w:val="hybridMultilevel"/>
    <w:tmpl w:val="AB60FC5E"/>
    <w:lvl w:ilvl="0" w:tplc="55003920">
      <w:start w:val="1"/>
      <w:numFmt w:val="bullet"/>
      <w:lvlText w:val="·"/>
      <w:lvlJc w:val="left"/>
      <w:pPr>
        <w:ind w:left="720" w:hanging="360"/>
      </w:pPr>
      <w:rPr>
        <w:rFonts w:ascii="Symbol" w:hAnsi="Symbol" w:hint="default"/>
      </w:rPr>
    </w:lvl>
    <w:lvl w:ilvl="1" w:tplc="F28C6C16">
      <w:start w:val="1"/>
      <w:numFmt w:val="bullet"/>
      <w:lvlText w:val="o"/>
      <w:lvlJc w:val="left"/>
      <w:pPr>
        <w:ind w:left="1440" w:hanging="360"/>
      </w:pPr>
      <w:rPr>
        <w:rFonts w:ascii="Courier New" w:hAnsi="Courier New" w:hint="default"/>
      </w:rPr>
    </w:lvl>
    <w:lvl w:ilvl="2" w:tplc="08422552">
      <w:start w:val="1"/>
      <w:numFmt w:val="bullet"/>
      <w:lvlText w:val=""/>
      <w:lvlJc w:val="left"/>
      <w:pPr>
        <w:ind w:left="2160" w:hanging="360"/>
      </w:pPr>
      <w:rPr>
        <w:rFonts w:ascii="Wingdings" w:hAnsi="Wingdings" w:hint="default"/>
      </w:rPr>
    </w:lvl>
    <w:lvl w:ilvl="3" w:tplc="26528CE0">
      <w:start w:val="1"/>
      <w:numFmt w:val="bullet"/>
      <w:lvlText w:val=""/>
      <w:lvlJc w:val="left"/>
      <w:pPr>
        <w:ind w:left="2880" w:hanging="360"/>
      </w:pPr>
      <w:rPr>
        <w:rFonts w:ascii="Symbol" w:hAnsi="Symbol" w:hint="default"/>
      </w:rPr>
    </w:lvl>
    <w:lvl w:ilvl="4" w:tplc="D292E3DE">
      <w:start w:val="1"/>
      <w:numFmt w:val="bullet"/>
      <w:lvlText w:val="o"/>
      <w:lvlJc w:val="left"/>
      <w:pPr>
        <w:ind w:left="3600" w:hanging="360"/>
      </w:pPr>
      <w:rPr>
        <w:rFonts w:ascii="Courier New" w:hAnsi="Courier New" w:hint="default"/>
      </w:rPr>
    </w:lvl>
    <w:lvl w:ilvl="5" w:tplc="6E3425AE">
      <w:start w:val="1"/>
      <w:numFmt w:val="bullet"/>
      <w:lvlText w:val=""/>
      <w:lvlJc w:val="left"/>
      <w:pPr>
        <w:ind w:left="4320" w:hanging="360"/>
      </w:pPr>
      <w:rPr>
        <w:rFonts w:ascii="Wingdings" w:hAnsi="Wingdings" w:hint="default"/>
      </w:rPr>
    </w:lvl>
    <w:lvl w:ilvl="6" w:tplc="DD66505C">
      <w:start w:val="1"/>
      <w:numFmt w:val="bullet"/>
      <w:lvlText w:val=""/>
      <w:lvlJc w:val="left"/>
      <w:pPr>
        <w:ind w:left="5040" w:hanging="360"/>
      </w:pPr>
      <w:rPr>
        <w:rFonts w:ascii="Symbol" w:hAnsi="Symbol" w:hint="default"/>
      </w:rPr>
    </w:lvl>
    <w:lvl w:ilvl="7" w:tplc="6DCC99FA">
      <w:start w:val="1"/>
      <w:numFmt w:val="bullet"/>
      <w:lvlText w:val="o"/>
      <w:lvlJc w:val="left"/>
      <w:pPr>
        <w:ind w:left="5760" w:hanging="360"/>
      </w:pPr>
      <w:rPr>
        <w:rFonts w:ascii="Courier New" w:hAnsi="Courier New" w:hint="default"/>
      </w:rPr>
    </w:lvl>
    <w:lvl w:ilvl="8" w:tplc="B504F590">
      <w:start w:val="1"/>
      <w:numFmt w:val="bullet"/>
      <w:lvlText w:val=""/>
      <w:lvlJc w:val="left"/>
      <w:pPr>
        <w:ind w:left="6480" w:hanging="360"/>
      </w:pPr>
      <w:rPr>
        <w:rFonts w:ascii="Wingdings" w:hAnsi="Wingdings" w:hint="default"/>
      </w:rPr>
    </w:lvl>
  </w:abstractNum>
  <w:abstractNum w:abstractNumId="6" w15:restartNumberingAfterBreak="0">
    <w:nsid w:val="081FE0F1"/>
    <w:multiLevelType w:val="hybridMultilevel"/>
    <w:tmpl w:val="112C4AB2"/>
    <w:lvl w:ilvl="0" w:tplc="DF0EBBFC">
      <w:start w:val="1"/>
      <w:numFmt w:val="upperLetter"/>
      <w:lvlText w:val="%1."/>
      <w:lvlJc w:val="left"/>
      <w:pPr>
        <w:ind w:left="720" w:hanging="360"/>
      </w:pPr>
    </w:lvl>
    <w:lvl w:ilvl="1" w:tplc="3F9CD800">
      <w:start w:val="1"/>
      <w:numFmt w:val="bullet"/>
      <w:lvlText w:val="·"/>
      <w:lvlJc w:val="left"/>
      <w:pPr>
        <w:ind w:left="1440" w:hanging="360"/>
      </w:pPr>
    </w:lvl>
    <w:lvl w:ilvl="2" w:tplc="F626D6B4">
      <w:start w:val="1"/>
      <w:numFmt w:val="lowerRoman"/>
      <w:lvlText w:val="%3."/>
      <w:lvlJc w:val="right"/>
      <w:pPr>
        <w:ind w:left="2160" w:hanging="180"/>
      </w:pPr>
    </w:lvl>
    <w:lvl w:ilvl="3" w:tplc="5ECC4B94">
      <w:start w:val="1"/>
      <w:numFmt w:val="decimal"/>
      <w:lvlText w:val="%4."/>
      <w:lvlJc w:val="left"/>
      <w:pPr>
        <w:ind w:left="2880" w:hanging="360"/>
      </w:pPr>
    </w:lvl>
    <w:lvl w:ilvl="4" w:tplc="D4F073C2">
      <w:start w:val="1"/>
      <w:numFmt w:val="lowerLetter"/>
      <w:lvlText w:val="%5."/>
      <w:lvlJc w:val="left"/>
      <w:pPr>
        <w:ind w:left="3600" w:hanging="360"/>
      </w:pPr>
    </w:lvl>
    <w:lvl w:ilvl="5" w:tplc="3CBC47A0">
      <w:start w:val="1"/>
      <w:numFmt w:val="lowerRoman"/>
      <w:lvlText w:val="%6."/>
      <w:lvlJc w:val="right"/>
      <w:pPr>
        <w:ind w:left="4320" w:hanging="180"/>
      </w:pPr>
    </w:lvl>
    <w:lvl w:ilvl="6" w:tplc="419A36E4">
      <w:start w:val="1"/>
      <w:numFmt w:val="decimal"/>
      <w:lvlText w:val="%7."/>
      <w:lvlJc w:val="left"/>
      <w:pPr>
        <w:ind w:left="5040" w:hanging="360"/>
      </w:pPr>
    </w:lvl>
    <w:lvl w:ilvl="7" w:tplc="45F63EC4">
      <w:start w:val="1"/>
      <w:numFmt w:val="lowerLetter"/>
      <w:lvlText w:val="%8."/>
      <w:lvlJc w:val="left"/>
      <w:pPr>
        <w:ind w:left="5760" w:hanging="360"/>
      </w:pPr>
    </w:lvl>
    <w:lvl w:ilvl="8" w:tplc="601A5114">
      <w:start w:val="1"/>
      <w:numFmt w:val="lowerRoman"/>
      <w:lvlText w:val="%9."/>
      <w:lvlJc w:val="right"/>
      <w:pPr>
        <w:ind w:left="6480" w:hanging="180"/>
      </w:pPr>
    </w:lvl>
  </w:abstractNum>
  <w:abstractNum w:abstractNumId="7" w15:restartNumberingAfterBreak="0">
    <w:nsid w:val="0B9A49D4"/>
    <w:multiLevelType w:val="multilevel"/>
    <w:tmpl w:val="FABE0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D19C5"/>
    <w:multiLevelType w:val="hybridMultilevel"/>
    <w:tmpl w:val="8C68E6A2"/>
    <w:lvl w:ilvl="0" w:tplc="D3562316">
      <w:start w:val="1"/>
      <w:numFmt w:val="bullet"/>
      <w:lvlText w:val=""/>
      <w:lvlJc w:val="left"/>
      <w:pPr>
        <w:ind w:left="770" w:hanging="360"/>
      </w:pPr>
      <w:rPr>
        <w:rFonts w:ascii="Wingdings" w:hAnsi="Wingdings" w:cs="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0EEF1CCD"/>
    <w:multiLevelType w:val="hybridMultilevel"/>
    <w:tmpl w:val="532299AC"/>
    <w:lvl w:ilvl="0" w:tplc="095EC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36330"/>
    <w:multiLevelType w:val="hybridMultilevel"/>
    <w:tmpl w:val="EDD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D1F7B"/>
    <w:multiLevelType w:val="hybridMultilevel"/>
    <w:tmpl w:val="9C2855CA"/>
    <w:lvl w:ilvl="0" w:tplc="E7C0696A">
      <w:start w:val="1"/>
      <w:numFmt w:val="upp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0E0588"/>
    <w:multiLevelType w:val="hybridMultilevel"/>
    <w:tmpl w:val="DFB4C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8646B5E"/>
    <w:multiLevelType w:val="multilevel"/>
    <w:tmpl w:val="A9E0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6B6FF6"/>
    <w:multiLevelType w:val="hybridMultilevel"/>
    <w:tmpl w:val="E03049B2"/>
    <w:lvl w:ilvl="0" w:tplc="4F2E05A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A08482E"/>
    <w:multiLevelType w:val="hybridMultilevel"/>
    <w:tmpl w:val="3B6ACDFE"/>
    <w:lvl w:ilvl="0" w:tplc="12C0C71E">
      <w:start w:val="1"/>
      <w:numFmt w:val="upperLetter"/>
      <w:lvlText w:val="(%1)"/>
      <w:lvlJc w:val="left"/>
      <w:pPr>
        <w:ind w:left="792" w:hanging="43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2E6164"/>
    <w:multiLevelType w:val="hybridMultilevel"/>
    <w:tmpl w:val="E73C96A0"/>
    <w:lvl w:ilvl="0" w:tplc="5B321E86">
      <w:start w:val="1"/>
      <w:numFmt w:val="bullet"/>
      <w:lvlText w:val=""/>
      <w:lvlJc w:val="left"/>
      <w:pPr>
        <w:ind w:left="710" w:hanging="360"/>
      </w:pPr>
      <w:rPr>
        <w:rFonts w:ascii="Symbol" w:hAnsi="Symbol" w:cs="Symbol" w:hint="default"/>
        <w:color w:val="auto"/>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1D894B48"/>
    <w:multiLevelType w:val="hybridMultilevel"/>
    <w:tmpl w:val="C1E87E10"/>
    <w:lvl w:ilvl="0" w:tplc="095EC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27703"/>
    <w:multiLevelType w:val="hybridMultilevel"/>
    <w:tmpl w:val="C22805F6"/>
    <w:lvl w:ilvl="0" w:tplc="027C8B18">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2F451E"/>
    <w:multiLevelType w:val="hybridMultilevel"/>
    <w:tmpl w:val="69B0FF1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229D1DAA"/>
    <w:multiLevelType w:val="hybridMultilevel"/>
    <w:tmpl w:val="7422D700"/>
    <w:lvl w:ilvl="0" w:tplc="E7207858">
      <w:start w:val="1"/>
      <w:numFmt w:val="decimal"/>
      <w:lvlText w:val="(%1)"/>
      <w:lvlJc w:val="left"/>
      <w:pPr>
        <w:ind w:left="360" w:hanging="360"/>
      </w:pPr>
      <w:rPr>
        <w:rFonts w:eastAsia="+mn-ea" w:cs="+mn-c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1B0E76"/>
    <w:multiLevelType w:val="hybridMultilevel"/>
    <w:tmpl w:val="B4AE2FDA"/>
    <w:lvl w:ilvl="0" w:tplc="37B8132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237D1E21"/>
    <w:multiLevelType w:val="hybridMultilevel"/>
    <w:tmpl w:val="7B8073CE"/>
    <w:lvl w:ilvl="0" w:tplc="7D2EC966">
      <w:start w:val="1"/>
      <w:numFmt w:val="lowerLetter"/>
      <w:lvlText w:val="(%1)"/>
      <w:lvlJc w:val="left"/>
      <w:pPr>
        <w:ind w:left="360" w:hanging="360"/>
      </w:pPr>
      <w:rPr>
        <w:rFonts w:hint="default"/>
        <w:color w:val="auto"/>
      </w:rPr>
    </w:lvl>
    <w:lvl w:ilvl="1" w:tplc="F79EFB6C">
      <w:start w:val="1"/>
      <w:numFmt w:val="upperLetter"/>
      <w:lvlText w:val="(%2)"/>
      <w:lvlJc w:val="left"/>
      <w:pPr>
        <w:ind w:left="1110" w:hanging="390"/>
      </w:pPr>
      <w:rPr>
        <w:rFonts w:hint="default"/>
      </w:rPr>
    </w:lvl>
    <w:lvl w:ilvl="2" w:tplc="868C28D6">
      <w:start w:val="1"/>
      <w:numFmt w:val="lowerLetter"/>
      <w:lvlText w:val="(%3)"/>
      <w:lvlJc w:val="left"/>
      <w:pPr>
        <w:ind w:left="1980" w:hanging="360"/>
      </w:pPr>
      <w:rPr>
        <w:rFonts w:hint="default"/>
        <w:b w:val="0"/>
        <w:i w:val="0"/>
      </w:rPr>
    </w:lvl>
    <w:lvl w:ilvl="3" w:tplc="1546791A">
      <w:start w:val="4"/>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114793"/>
    <w:multiLevelType w:val="hybridMultilevel"/>
    <w:tmpl w:val="3D8CB84A"/>
    <w:lvl w:ilvl="0" w:tplc="CC28BA3C">
      <w:start w:val="9"/>
      <w:numFmt w:val="decimal"/>
      <w:lvlText w:val="(%1)"/>
      <w:lvlJc w:val="left"/>
      <w:pPr>
        <w:ind w:left="108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1A6A74"/>
    <w:multiLevelType w:val="hybridMultilevel"/>
    <w:tmpl w:val="5FD04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28D646A0"/>
    <w:multiLevelType w:val="hybridMultilevel"/>
    <w:tmpl w:val="1DA00670"/>
    <w:lvl w:ilvl="0" w:tplc="095EC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F4780"/>
    <w:multiLevelType w:val="hybridMultilevel"/>
    <w:tmpl w:val="FB14B2A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C7F3E4B"/>
    <w:multiLevelType w:val="hybridMultilevel"/>
    <w:tmpl w:val="28EC5B24"/>
    <w:lvl w:ilvl="0" w:tplc="0409001B">
      <w:start w:val="1"/>
      <w:numFmt w:val="lowerRoman"/>
      <w:lvlText w:val="%1."/>
      <w:lvlJc w:val="righ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2DAF52EE"/>
    <w:multiLevelType w:val="hybridMultilevel"/>
    <w:tmpl w:val="83283394"/>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9" w15:restartNumberingAfterBreak="0">
    <w:nsid w:val="2E1225E4"/>
    <w:multiLevelType w:val="hybridMultilevel"/>
    <w:tmpl w:val="21C86F86"/>
    <w:lvl w:ilvl="0" w:tplc="C13A61D2">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412A30"/>
    <w:multiLevelType w:val="hybridMultilevel"/>
    <w:tmpl w:val="4BCEA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B7434C"/>
    <w:multiLevelType w:val="hybridMultilevel"/>
    <w:tmpl w:val="E1109F3C"/>
    <w:lvl w:ilvl="0" w:tplc="04090005">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2" w15:restartNumberingAfterBreak="0">
    <w:nsid w:val="31D166F9"/>
    <w:multiLevelType w:val="hybridMultilevel"/>
    <w:tmpl w:val="BDB20AA0"/>
    <w:lvl w:ilvl="0" w:tplc="F9C487D6">
      <w:start w:val="2"/>
      <w:numFmt w:val="decimal"/>
      <w:lvlText w:val="(%1)"/>
      <w:lvlJc w:val="left"/>
      <w:pPr>
        <w:ind w:left="360" w:hanging="360"/>
      </w:pPr>
      <w:rPr>
        <w:rFonts w:eastAsia="+mn-ea" w:cs="+mn-cs" w:hint="default"/>
        <w:b w:val="0"/>
        <w:b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32CF7C21"/>
    <w:multiLevelType w:val="hybridMultilevel"/>
    <w:tmpl w:val="9DD8189C"/>
    <w:lvl w:ilvl="0" w:tplc="FFFFFFFF">
      <w:start w:val="1"/>
      <w:numFmt w:val="decimal"/>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B05465"/>
    <w:multiLevelType w:val="hybridMultilevel"/>
    <w:tmpl w:val="AD0081A4"/>
    <w:lvl w:ilvl="0" w:tplc="FFFFFFF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9203E2D"/>
    <w:multiLevelType w:val="hybridMultilevel"/>
    <w:tmpl w:val="14266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8B326F"/>
    <w:multiLevelType w:val="hybridMultilevel"/>
    <w:tmpl w:val="1D3264E8"/>
    <w:lvl w:ilvl="0" w:tplc="16CCF37C">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B6725C6"/>
    <w:multiLevelType w:val="multilevel"/>
    <w:tmpl w:val="CE04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B8B71AC"/>
    <w:multiLevelType w:val="hybridMultilevel"/>
    <w:tmpl w:val="2A7C2B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3C3E5A61"/>
    <w:multiLevelType w:val="hybridMultilevel"/>
    <w:tmpl w:val="2F0AEEE6"/>
    <w:lvl w:ilvl="0" w:tplc="7F28C646">
      <w:start w:val="1"/>
      <w:numFmt w:val="decimal"/>
      <w:lvlText w:val="%1."/>
      <w:lvlJc w:val="left"/>
      <w:pPr>
        <w:ind w:left="720" w:hanging="360"/>
      </w:pPr>
    </w:lvl>
    <w:lvl w:ilvl="1" w:tplc="2916B52C">
      <w:start w:val="1"/>
      <w:numFmt w:val="upperLetter"/>
      <w:lvlText w:val="%2."/>
      <w:lvlJc w:val="left"/>
      <w:pPr>
        <w:ind w:left="1440" w:hanging="360"/>
      </w:pPr>
    </w:lvl>
    <w:lvl w:ilvl="2" w:tplc="C798BAF6">
      <w:start w:val="1"/>
      <w:numFmt w:val="bullet"/>
      <w:lvlText w:val="·"/>
      <w:lvlJc w:val="left"/>
      <w:pPr>
        <w:ind w:left="2160" w:hanging="180"/>
      </w:pPr>
    </w:lvl>
    <w:lvl w:ilvl="3" w:tplc="08088220">
      <w:start w:val="1"/>
      <w:numFmt w:val="decimal"/>
      <w:lvlText w:val="%4."/>
      <w:lvlJc w:val="left"/>
      <w:pPr>
        <w:ind w:left="2880" w:hanging="360"/>
      </w:pPr>
    </w:lvl>
    <w:lvl w:ilvl="4" w:tplc="ACF48E2A">
      <w:start w:val="1"/>
      <w:numFmt w:val="lowerLetter"/>
      <w:lvlText w:val="%5."/>
      <w:lvlJc w:val="left"/>
      <w:pPr>
        <w:ind w:left="3600" w:hanging="360"/>
      </w:pPr>
    </w:lvl>
    <w:lvl w:ilvl="5" w:tplc="5F8C1254">
      <w:start w:val="1"/>
      <w:numFmt w:val="lowerRoman"/>
      <w:lvlText w:val="%6."/>
      <w:lvlJc w:val="right"/>
      <w:pPr>
        <w:ind w:left="4320" w:hanging="180"/>
      </w:pPr>
    </w:lvl>
    <w:lvl w:ilvl="6" w:tplc="9D0EC9CA">
      <w:start w:val="1"/>
      <w:numFmt w:val="decimal"/>
      <w:lvlText w:val="%7."/>
      <w:lvlJc w:val="left"/>
      <w:pPr>
        <w:ind w:left="5040" w:hanging="360"/>
      </w:pPr>
    </w:lvl>
    <w:lvl w:ilvl="7" w:tplc="C25827AC">
      <w:start w:val="1"/>
      <w:numFmt w:val="lowerLetter"/>
      <w:lvlText w:val="%8."/>
      <w:lvlJc w:val="left"/>
      <w:pPr>
        <w:ind w:left="5760" w:hanging="360"/>
      </w:pPr>
    </w:lvl>
    <w:lvl w:ilvl="8" w:tplc="73449A38">
      <w:start w:val="1"/>
      <w:numFmt w:val="lowerRoman"/>
      <w:lvlText w:val="%9."/>
      <w:lvlJc w:val="right"/>
      <w:pPr>
        <w:ind w:left="6480" w:hanging="180"/>
      </w:pPr>
    </w:lvl>
  </w:abstractNum>
  <w:abstractNum w:abstractNumId="40" w15:restartNumberingAfterBreak="0">
    <w:nsid w:val="3DED657B"/>
    <w:multiLevelType w:val="hybridMultilevel"/>
    <w:tmpl w:val="C5BC57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3EBF3157"/>
    <w:multiLevelType w:val="hybridMultilevel"/>
    <w:tmpl w:val="E24620A4"/>
    <w:lvl w:ilvl="0" w:tplc="A580AC3A">
      <w:start w:val="1"/>
      <w:numFmt w:val="bullet"/>
      <w:lvlText w:val="·"/>
      <w:lvlJc w:val="left"/>
      <w:pPr>
        <w:ind w:left="720" w:hanging="360"/>
      </w:pPr>
      <w:rPr>
        <w:rFonts w:ascii="Symbol" w:hAnsi="Symbol" w:hint="default"/>
      </w:rPr>
    </w:lvl>
    <w:lvl w:ilvl="1" w:tplc="C09C9420">
      <w:start w:val="1"/>
      <w:numFmt w:val="bullet"/>
      <w:lvlText w:val="o"/>
      <w:lvlJc w:val="left"/>
      <w:pPr>
        <w:ind w:left="1440" w:hanging="360"/>
      </w:pPr>
      <w:rPr>
        <w:rFonts w:ascii="Courier New" w:hAnsi="Courier New" w:hint="default"/>
      </w:rPr>
    </w:lvl>
    <w:lvl w:ilvl="2" w:tplc="3ED6F5E6">
      <w:start w:val="1"/>
      <w:numFmt w:val="bullet"/>
      <w:lvlText w:val=""/>
      <w:lvlJc w:val="left"/>
      <w:pPr>
        <w:ind w:left="2160" w:hanging="360"/>
      </w:pPr>
      <w:rPr>
        <w:rFonts w:ascii="Wingdings" w:hAnsi="Wingdings" w:hint="default"/>
      </w:rPr>
    </w:lvl>
    <w:lvl w:ilvl="3" w:tplc="14DEF916">
      <w:start w:val="1"/>
      <w:numFmt w:val="bullet"/>
      <w:lvlText w:val=""/>
      <w:lvlJc w:val="left"/>
      <w:pPr>
        <w:ind w:left="2880" w:hanging="360"/>
      </w:pPr>
      <w:rPr>
        <w:rFonts w:ascii="Symbol" w:hAnsi="Symbol" w:hint="default"/>
      </w:rPr>
    </w:lvl>
    <w:lvl w:ilvl="4" w:tplc="85544FF4">
      <w:start w:val="1"/>
      <w:numFmt w:val="bullet"/>
      <w:lvlText w:val="o"/>
      <w:lvlJc w:val="left"/>
      <w:pPr>
        <w:ind w:left="3600" w:hanging="360"/>
      </w:pPr>
      <w:rPr>
        <w:rFonts w:ascii="Courier New" w:hAnsi="Courier New" w:hint="default"/>
      </w:rPr>
    </w:lvl>
    <w:lvl w:ilvl="5" w:tplc="BD9CB2B6">
      <w:start w:val="1"/>
      <w:numFmt w:val="bullet"/>
      <w:lvlText w:val=""/>
      <w:lvlJc w:val="left"/>
      <w:pPr>
        <w:ind w:left="4320" w:hanging="360"/>
      </w:pPr>
      <w:rPr>
        <w:rFonts w:ascii="Wingdings" w:hAnsi="Wingdings" w:hint="default"/>
      </w:rPr>
    </w:lvl>
    <w:lvl w:ilvl="6" w:tplc="6DA25C02">
      <w:start w:val="1"/>
      <w:numFmt w:val="bullet"/>
      <w:lvlText w:val=""/>
      <w:lvlJc w:val="left"/>
      <w:pPr>
        <w:ind w:left="5040" w:hanging="360"/>
      </w:pPr>
      <w:rPr>
        <w:rFonts w:ascii="Symbol" w:hAnsi="Symbol" w:hint="default"/>
      </w:rPr>
    </w:lvl>
    <w:lvl w:ilvl="7" w:tplc="4258BEBC">
      <w:start w:val="1"/>
      <w:numFmt w:val="bullet"/>
      <w:lvlText w:val="o"/>
      <w:lvlJc w:val="left"/>
      <w:pPr>
        <w:ind w:left="5760" w:hanging="360"/>
      </w:pPr>
      <w:rPr>
        <w:rFonts w:ascii="Courier New" w:hAnsi="Courier New" w:hint="default"/>
      </w:rPr>
    </w:lvl>
    <w:lvl w:ilvl="8" w:tplc="EC38A418">
      <w:start w:val="1"/>
      <w:numFmt w:val="bullet"/>
      <w:lvlText w:val=""/>
      <w:lvlJc w:val="left"/>
      <w:pPr>
        <w:ind w:left="6480" w:hanging="360"/>
      </w:pPr>
      <w:rPr>
        <w:rFonts w:ascii="Wingdings" w:hAnsi="Wingdings" w:hint="default"/>
      </w:rPr>
    </w:lvl>
  </w:abstractNum>
  <w:abstractNum w:abstractNumId="42" w15:restartNumberingAfterBreak="0">
    <w:nsid w:val="3ED40522"/>
    <w:multiLevelType w:val="hybridMultilevel"/>
    <w:tmpl w:val="4A6C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9D0CA2"/>
    <w:multiLevelType w:val="hybridMultilevel"/>
    <w:tmpl w:val="84C61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213075A"/>
    <w:multiLevelType w:val="hybridMultilevel"/>
    <w:tmpl w:val="BC74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2F0C8A"/>
    <w:multiLevelType w:val="hybridMultilevel"/>
    <w:tmpl w:val="B6241C58"/>
    <w:lvl w:ilvl="0" w:tplc="039842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6F7D90"/>
    <w:multiLevelType w:val="multilevel"/>
    <w:tmpl w:val="9E689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816B01"/>
    <w:multiLevelType w:val="hybridMultilevel"/>
    <w:tmpl w:val="73FAB51A"/>
    <w:lvl w:ilvl="0" w:tplc="FFFFFFF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47FF3487"/>
    <w:multiLevelType w:val="hybridMultilevel"/>
    <w:tmpl w:val="675E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7A2ADE"/>
    <w:multiLevelType w:val="hybridMultilevel"/>
    <w:tmpl w:val="33A22104"/>
    <w:lvl w:ilvl="0" w:tplc="4C4ED9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30023D"/>
    <w:multiLevelType w:val="hybridMultilevel"/>
    <w:tmpl w:val="9C8E6848"/>
    <w:lvl w:ilvl="0" w:tplc="2A58D8F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9396427"/>
    <w:multiLevelType w:val="hybridMultilevel"/>
    <w:tmpl w:val="FD4AB5E2"/>
    <w:lvl w:ilvl="0" w:tplc="095EC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F60429"/>
    <w:multiLevelType w:val="hybridMultilevel"/>
    <w:tmpl w:val="C1EADFA0"/>
    <w:lvl w:ilvl="0" w:tplc="0B143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2E20EF"/>
    <w:multiLevelType w:val="hybridMultilevel"/>
    <w:tmpl w:val="B66CCA30"/>
    <w:lvl w:ilvl="0" w:tplc="B73C207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4D6A18E5"/>
    <w:multiLevelType w:val="hybridMultilevel"/>
    <w:tmpl w:val="07303796"/>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5" w15:restartNumberingAfterBreak="0">
    <w:nsid w:val="4EAA0C78"/>
    <w:multiLevelType w:val="hybridMultilevel"/>
    <w:tmpl w:val="7E3E9796"/>
    <w:lvl w:ilvl="0" w:tplc="93A48A5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3B22BE"/>
    <w:multiLevelType w:val="hybridMultilevel"/>
    <w:tmpl w:val="3F621D72"/>
    <w:lvl w:ilvl="0" w:tplc="095EC53C">
      <w:start w:val="1"/>
      <w:numFmt w:val="bullet"/>
      <w:lvlText w:val=""/>
      <w:lvlJc w:val="left"/>
      <w:pPr>
        <w:ind w:left="720" w:hanging="360"/>
      </w:pPr>
      <w:rPr>
        <w:rFonts w:ascii="Symbol" w:hAnsi="Symbol" w:hint="default"/>
      </w:rPr>
    </w:lvl>
    <w:lvl w:ilvl="1" w:tplc="2B523E6A">
      <w:start w:val="1"/>
      <w:numFmt w:val="bullet"/>
      <w:lvlText w:val=""/>
      <w:lvlJc w:val="left"/>
      <w:pPr>
        <w:ind w:left="1440" w:hanging="360"/>
      </w:pPr>
      <w:rPr>
        <w:rFonts w:ascii="Symbol" w:hAnsi="Symbol" w:hint="default"/>
      </w:rPr>
    </w:lvl>
    <w:lvl w:ilvl="2" w:tplc="F36074CA">
      <w:start w:val="1"/>
      <w:numFmt w:val="bullet"/>
      <w:lvlText w:val=""/>
      <w:lvlJc w:val="left"/>
      <w:pPr>
        <w:ind w:left="2160" w:hanging="360"/>
      </w:pPr>
      <w:rPr>
        <w:rFonts w:ascii="Wingdings" w:hAnsi="Wingdings" w:hint="default"/>
      </w:rPr>
    </w:lvl>
    <w:lvl w:ilvl="3" w:tplc="E996CD6C">
      <w:start w:val="1"/>
      <w:numFmt w:val="bullet"/>
      <w:lvlText w:val=""/>
      <w:lvlJc w:val="left"/>
      <w:pPr>
        <w:ind w:left="2880" w:hanging="360"/>
      </w:pPr>
      <w:rPr>
        <w:rFonts w:ascii="Symbol" w:hAnsi="Symbol" w:hint="default"/>
      </w:rPr>
    </w:lvl>
    <w:lvl w:ilvl="4" w:tplc="4606DDE0">
      <w:start w:val="1"/>
      <w:numFmt w:val="bullet"/>
      <w:lvlText w:val="o"/>
      <w:lvlJc w:val="left"/>
      <w:pPr>
        <w:ind w:left="3600" w:hanging="360"/>
      </w:pPr>
      <w:rPr>
        <w:rFonts w:ascii="Courier New" w:hAnsi="Courier New" w:hint="default"/>
      </w:rPr>
    </w:lvl>
    <w:lvl w:ilvl="5" w:tplc="75EE9F5E">
      <w:start w:val="1"/>
      <w:numFmt w:val="bullet"/>
      <w:lvlText w:val=""/>
      <w:lvlJc w:val="left"/>
      <w:pPr>
        <w:ind w:left="4320" w:hanging="360"/>
      </w:pPr>
      <w:rPr>
        <w:rFonts w:ascii="Wingdings" w:hAnsi="Wingdings" w:hint="default"/>
      </w:rPr>
    </w:lvl>
    <w:lvl w:ilvl="6" w:tplc="6B200306">
      <w:start w:val="1"/>
      <w:numFmt w:val="bullet"/>
      <w:lvlText w:val=""/>
      <w:lvlJc w:val="left"/>
      <w:pPr>
        <w:ind w:left="5040" w:hanging="360"/>
      </w:pPr>
      <w:rPr>
        <w:rFonts w:ascii="Symbol" w:hAnsi="Symbol" w:hint="default"/>
      </w:rPr>
    </w:lvl>
    <w:lvl w:ilvl="7" w:tplc="80DE3422">
      <w:start w:val="1"/>
      <w:numFmt w:val="bullet"/>
      <w:lvlText w:val="o"/>
      <w:lvlJc w:val="left"/>
      <w:pPr>
        <w:ind w:left="5760" w:hanging="360"/>
      </w:pPr>
      <w:rPr>
        <w:rFonts w:ascii="Courier New" w:hAnsi="Courier New" w:hint="default"/>
      </w:rPr>
    </w:lvl>
    <w:lvl w:ilvl="8" w:tplc="85E06C82">
      <w:start w:val="1"/>
      <w:numFmt w:val="bullet"/>
      <w:lvlText w:val=""/>
      <w:lvlJc w:val="left"/>
      <w:pPr>
        <w:ind w:left="6480" w:hanging="360"/>
      </w:pPr>
      <w:rPr>
        <w:rFonts w:ascii="Wingdings" w:hAnsi="Wingdings" w:hint="default"/>
      </w:rPr>
    </w:lvl>
  </w:abstractNum>
  <w:abstractNum w:abstractNumId="57" w15:restartNumberingAfterBreak="0">
    <w:nsid w:val="536F1838"/>
    <w:multiLevelType w:val="hybridMultilevel"/>
    <w:tmpl w:val="FA5C21C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4BC775A"/>
    <w:multiLevelType w:val="hybridMultilevel"/>
    <w:tmpl w:val="21D4133E"/>
    <w:lvl w:ilvl="0" w:tplc="095EC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1E330C"/>
    <w:multiLevelType w:val="hybridMultilevel"/>
    <w:tmpl w:val="55C622B6"/>
    <w:lvl w:ilvl="0" w:tplc="FFFFFFFF">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79B2893"/>
    <w:multiLevelType w:val="multilevel"/>
    <w:tmpl w:val="74D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8E80BCD"/>
    <w:multiLevelType w:val="hybridMultilevel"/>
    <w:tmpl w:val="BD7240D6"/>
    <w:lvl w:ilvl="0" w:tplc="C06C8C44">
      <w:start w:val="1"/>
      <w:numFmt w:val="bullet"/>
      <w:lvlText w:val="•"/>
      <w:lvlJc w:val="left"/>
      <w:pPr>
        <w:tabs>
          <w:tab w:val="num" w:pos="720"/>
        </w:tabs>
        <w:ind w:left="720" w:hanging="360"/>
      </w:pPr>
      <w:rPr>
        <w:rFonts w:ascii="Arial" w:hAnsi="Arial" w:hint="default"/>
      </w:rPr>
    </w:lvl>
    <w:lvl w:ilvl="1" w:tplc="B6F8CBC6">
      <w:start w:val="1"/>
      <w:numFmt w:val="bullet"/>
      <w:lvlText w:val="•"/>
      <w:lvlJc w:val="left"/>
      <w:pPr>
        <w:tabs>
          <w:tab w:val="num" w:pos="1440"/>
        </w:tabs>
        <w:ind w:left="1440" w:hanging="360"/>
      </w:pPr>
      <w:rPr>
        <w:rFonts w:ascii="Arial" w:hAnsi="Arial" w:hint="default"/>
      </w:rPr>
    </w:lvl>
    <w:lvl w:ilvl="2" w:tplc="2104E76C">
      <w:numFmt w:val="bullet"/>
      <w:lvlText w:val="•"/>
      <w:lvlJc w:val="left"/>
      <w:pPr>
        <w:tabs>
          <w:tab w:val="num" w:pos="2160"/>
        </w:tabs>
        <w:ind w:left="2160" w:hanging="360"/>
      </w:pPr>
      <w:rPr>
        <w:rFonts w:ascii="Arial" w:hAnsi="Arial" w:hint="default"/>
      </w:rPr>
    </w:lvl>
    <w:lvl w:ilvl="3" w:tplc="A6E0861A">
      <w:start w:val="1"/>
      <w:numFmt w:val="bullet"/>
      <w:lvlText w:val="•"/>
      <w:lvlJc w:val="left"/>
      <w:pPr>
        <w:tabs>
          <w:tab w:val="num" w:pos="2880"/>
        </w:tabs>
        <w:ind w:left="2880" w:hanging="360"/>
      </w:pPr>
      <w:rPr>
        <w:rFonts w:ascii="Arial" w:hAnsi="Arial" w:hint="default"/>
      </w:rPr>
    </w:lvl>
    <w:lvl w:ilvl="4" w:tplc="317A6476" w:tentative="1">
      <w:start w:val="1"/>
      <w:numFmt w:val="bullet"/>
      <w:lvlText w:val="•"/>
      <w:lvlJc w:val="left"/>
      <w:pPr>
        <w:tabs>
          <w:tab w:val="num" w:pos="3600"/>
        </w:tabs>
        <w:ind w:left="3600" w:hanging="360"/>
      </w:pPr>
      <w:rPr>
        <w:rFonts w:ascii="Arial" w:hAnsi="Arial" w:hint="default"/>
      </w:rPr>
    </w:lvl>
    <w:lvl w:ilvl="5" w:tplc="732E40D0" w:tentative="1">
      <w:start w:val="1"/>
      <w:numFmt w:val="bullet"/>
      <w:lvlText w:val="•"/>
      <w:lvlJc w:val="left"/>
      <w:pPr>
        <w:tabs>
          <w:tab w:val="num" w:pos="4320"/>
        </w:tabs>
        <w:ind w:left="4320" w:hanging="360"/>
      </w:pPr>
      <w:rPr>
        <w:rFonts w:ascii="Arial" w:hAnsi="Arial" w:hint="default"/>
      </w:rPr>
    </w:lvl>
    <w:lvl w:ilvl="6" w:tplc="C4EC252C" w:tentative="1">
      <w:start w:val="1"/>
      <w:numFmt w:val="bullet"/>
      <w:lvlText w:val="•"/>
      <w:lvlJc w:val="left"/>
      <w:pPr>
        <w:tabs>
          <w:tab w:val="num" w:pos="5040"/>
        </w:tabs>
        <w:ind w:left="5040" w:hanging="360"/>
      </w:pPr>
      <w:rPr>
        <w:rFonts w:ascii="Arial" w:hAnsi="Arial" w:hint="default"/>
      </w:rPr>
    </w:lvl>
    <w:lvl w:ilvl="7" w:tplc="5010F9C4" w:tentative="1">
      <w:start w:val="1"/>
      <w:numFmt w:val="bullet"/>
      <w:lvlText w:val="•"/>
      <w:lvlJc w:val="left"/>
      <w:pPr>
        <w:tabs>
          <w:tab w:val="num" w:pos="5760"/>
        </w:tabs>
        <w:ind w:left="5760" w:hanging="360"/>
      </w:pPr>
      <w:rPr>
        <w:rFonts w:ascii="Arial" w:hAnsi="Arial" w:hint="default"/>
      </w:rPr>
    </w:lvl>
    <w:lvl w:ilvl="8" w:tplc="626C52BE"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08F1CC3"/>
    <w:multiLevelType w:val="hybridMultilevel"/>
    <w:tmpl w:val="B1A0BD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3" w15:restartNumberingAfterBreak="0">
    <w:nsid w:val="61425955"/>
    <w:multiLevelType w:val="hybridMultilevel"/>
    <w:tmpl w:val="7C3EEF5E"/>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17F0358"/>
    <w:multiLevelType w:val="hybridMultilevel"/>
    <w:tmpl w:val="F836B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651B0DA4"/>
    <w:multiLevelType w:val="hybridMultilevel"/>
    <w:tmpl w:val="E2EAC39C"/>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A31CF7"/>
    <w:multiLevelType w:val="hybridMultilevel"/>
    <w:tmpl w:val="A904AC76"/>
    <w:lvl w:ilvl="0" w:tplc="AE105298">
      <w:start w:val="1"/>
      <w:numFmt w:val="upperLetter"/>
      <w:lvlText w:val="%1."/>
      <w:lvlJc w:val="left"/>
      <w:pPr>
        <w:ind w:left="720" w:hanging="360"/>
      </w:pPr>
    </w:lvl>
    <w:lvl w:ilvl="1" w:tplc="1B6C7F4A">
      <w:start w:val="1"/>
      <w:numFmt w:val="lowerLetter"/>
      <w:lvlText w:val="%2."/>
      <w:lvlJc w:val="left"/>
      <w:pPr>
        <w:ind w:left="1440" w:hanging="360"/>
      </w:pPr>
    </w:lvl>
    <w:lvl w:ilvl="2" w:tplc="B03431C0">
      <w:start w:val="1"/>
      <w:numFmt w:val="lowerRoman"/>
      <w:lvlText w:val="%3."/>
      <w:lvlJc w:val="right"/>
      <w:pPr>
        <w:ind w:left="2160" w:hanging="180"/>
      </w:pPr>
    </w:lvl>
    <w:lvl w:ilvl="3" w:tplc="ED406474">
      <w:start w:val="1"/>
      <w:numFmt w:val="decimal"/>
      <w:lvlText w:val="%4."/>
      <w:lvlJc w:val="left"/>
      <w:pPr>
        <w:ind w:left="2880" w:hanging="360"/>
      </w:pPr>
    </w:lvl>
    <w:lvl w:ilvl="4" w:tplc="41B2BB3A">
      <w:start w:val="1"/>
      <w:numFmt w:val="lowerLetter"/>
      <w:lvlText w:val="%5."/>
      <w:lvlJc w:val="left"/>
      <w:pPr>
        <w:ind w:left="3600" w:hanging="360"/>
      </w:pPr>
    </w:lvl>
    <w:lvl w:ilvl="5" w:tplc="167E4EB0">
      <w:start w:val="1"/>
      <w:numFmt w:val="lowerRoman"/>
      <w:lvlText w:val="%6."/>
      <w:lvlJc w:val="right"/>
      <w:pPr>
        <w:ind w:left="4320" w:hanging="180"/>
      </w:pPr>
    </w:lvl>
    <w:lvl w:ilvl="6" w:tplc="0FBE350E">
      <w:start w:val="1"/>
      <w:numFmt w:val="decimal"/>
      <w:lvlText w:val="%7."/>
      <w:lvlJc w:val="left"/>
      <w:pPr>
        <w:ind w:left="5040" w:hanging="360"/>
      </w:pPr>
    </w:lvl>
    <w:lvl w:ilvl="7" w:tplc="ADFAF788">
      <w:start w:val="1"/>
      <w:numFmt w:val="lowerLetter"/>
      <w:lvlText w:val="%8."/>
      <w:lvlJc w:val="left"/>
      <w:pPr>
        <w:ind w:left="5760" w:hanging="360"/>
      </w:pPr>
    </w:lvl>
    <w:lvl w:ilvl="8" w:tplc="CC4028AA">
      <w:start w:val="1"/>
      <w:numFmt w:val="lowerRoman"/>
      <w:lvlText w:val="%9."/>
      <w:lvlJc w:val="right"/>
      <w:pPr>
        <w:ind w:left="6480" w:hanging="180"/>
      </w:pPr>
    </w:lvl>
  </w:abstractNum>
  <w:abstractNum w:abstractNumId="67" w15:restartNumberingAfterBreak="0">
    <w:nsid w:val="660E7BB4"/>
    <w:multiLevelType w:val="hybridMultilevel"/>
    <w:tmpl w:val="EE2CB614"/>
    <w:lvl w:ilvl="0" w:tplc="10A60D4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667458B0"/>
    <w:multiLevelType w:val="hybridMultilevel"/>
    <w:tmpl w:val="DF2C2AD0"/>
    <w:lvl w:ilvl="0" w:tplc="BEB0E4D6">
      <w:start w:val="1"/>
      <w:numFmt w:val="decimal"/>
      <w:lvlText w:val="%1."/>
      <w:lvlJc w:val="left"/>
      <w:pPr>
        <w:ind w:left="720" w:hanging="360"/>
      </w:pPr>
    </w:lvl>
    <w:lvl w:ilvl="1" w:tplc="7C4E2B7A">
      <w:start w:val="1"/>
      <w:numFmt w:val="lowerLetter"/>
      <w:lvlText w:val="%2."/>
      <w:lvlJc w:val="left"/>
      <w:pPr>
        <w:ind w:left="1440" w:hanging="360"/>
      </w:pPr>
    </w:lvl>
    <w:lvl w:ilvl="2" w:tplc="5456CE1C">
      <w:start w:val="1"/>
      <w:numFmt w:val="lowerRoman"/>
      <w:lvlText w:val="%3."/>
      <w:lvlJc w:val="right"/>
      <w:pPr>
        <w:ind w:left="2160" w:hanging="180"/>
      </w:pPr>
    </w:lvl>
    <w:lvl w:ilvl="3" w:tplc="80FE0F32">
      <w:start w:val="1"/>
      <w:numFmt w:val="decimal"/>
      <w:lvlText w:val="%4."/>
      <w:lvlJc w:val="left"/>
      <w:pPr>
        <w:ind w:left="2880" w:hanging="360"/>
      </w:pPr>
    </w:lvl>
    <w:lvl w:ilvl="4" w:tplc="2EEA31EC">
      <w:start w:val="1"/>
      <w:numFmt w:val="lowerLetter"/>
      <w:lvlText w:val="%5."/>
      <w:lvlJc w:val="left"/>
      <w:pPr>
        <w:ind w:left="3600" w:hanging="360"/>
      </w:pPr>
    </w:lvl>
    <w:lvl w:ilvl="5" w:tplc="8B0E15E6">
      <w:start w:val="1"/>
      <w:numFmt w:val="lowerRoman"/>
      <w:lvlText w:val="%6."/>
      <w:lvlJc w:val="right"/>
      <w:pPr>
        <w:ind w:left="4320" w:hanging="180"/>
      </w:pPr>
    </w:lvl>
    <w:lvl w:ilvl="6" w:tplc="69321AD8">
      <w:start w:val="1"/>
      <w:numFmt w:val="decimal"/>
      <w:lvlText w:val="%7."/>
      <w:lvlJc w:val="left"/>
      <w:pPr>
        <w:ind w:left="5040" w:hanging="360"/>
      </w:pPr>
    </w:lvl>
    <w:lvl w:ilvl="7" w:tplc="1E169484">
      <w:start w:val="1"/>
      <w:numFmt w:val="lowerLetter"/>
      <w:lvlText w:val="%8."/>
      <w:lvlJc w:val="left"/>
      <w:pPr>
        <w:ind w:left="5760" w:hanging="360"/>
      </w:pPr>
    </w:lvl>
    <w:lvl w:ilvl="8" w:tplc="3490C3B4">
      <w:start w:val="1"/>
      <w:numFmt w:val="lowerRoman"/>
      <w:lvlText w:val="%9."/>
      <w:lvlJc w:val="right"/>
      <w:pPr>
        <w:ind w:left="6480" w:hanging="180"/>
      </w:pPr>
    </w:lvl>
  </w:abstractNum>
  <w:abstractNum w:abstractNumId="69" w15:restartNumberingAfterBreak="0">
    <w:nsid w:val="67CD6799"/>
    <w:multiLevelType w:val="hybridMultilevel"/>
    <w:tmpl w:val="AA2CE43E"/>
    <w:lvl w:ilvl="0" w:tplc="B2FA95BC">
      <w:start w:val="1"/>
      <w:numFmt w:val="decimal"/>
      <w:lvlText w:val="(%1)"/>
      <w:lvlJc w:val="left"/>
      <w:pPr>
        <w:ind w:left="360" w:hanging="360"/>
      </w:pPr>
      <w:rPr>
        <w:rFonts w:eastAsia="Calibri" w:hint="default"/>
        <w:b w:val="0"/>
        <w:bCs w:val="0"/>
      </w:rPr>
    </w:lvl>
    <w:lvl w:ilvl="1" w:tplc="6CE03DA8">
      <w:start w:val="1"/>
      <w:numFmt w:val="upperLetter"/>
      <w:lvlText w:val="(%2)"/>
      <w:lvlJc w:val="left"/>
      <w:pPr>
        <w:ind w:left="1080"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83E6736"/>
    <w:multiLevelType w:val="hybridMultilevel"/>
    <w:tmpl w:val="B3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8709F1"/>
    <w:multiLevelType w:val="hybridMultilevel"/>
    <w:tmpl w:val="49D6ECE2"/>
    <w:lvl w:ilvl="0" w:tplc="718C6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D900EFE"/>
    <w:multiLevelType w:val="hybridMultilevel"/>
    <w:tmpl w:val="2202F0F0"/>
    <w:lvl w:ilvl="0" w:tplc="7FA8E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D912F9D"/>
    <w:multiLevelType w:val="hybridMultilevel"/>
    <w:tmpl w:val="1C949DBC"/>
    <w:lvl w:ilvl="0" w:tplc="BB80B9DE">
      <w:start w:val="1"/>
      <w:numFmt w:val="upperLetter"/>
      <w:lvlText w:val="(%1)"/>
      <w:lvlJc w:val="right"/>
      <w:pPr>
        <w:ind w:left="1008" w:hanging="288"/>
      </w:pPr>
      <w:rPr>
        <w:rFonts w:hint="default"/>
        <w:b w:val="0"/>
        <w:strike w:val="0"/>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6EB158FD"/>
    <w:multiLevelType w:val="hybridMultilevel"/>
    <w:tmpl w:val="75D016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5" w15:restartNumberingAfterBreak="0">
    <w:nsid w:val="71117A02"/>
    <w:multiLevelType w:val="hybridMultilevel"/>
    <w:tmpl w:val="77A20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6" w15:restartNumberingAfterBreak="0">
    <w:nsid w:val="7343F802"/>
    <w:multiLevelType w:val="hybridMultilevel"/>
    <w:tmpl w:val="35D0D06E"/>
    <w:lvl w:ilvl="0" w:tplc="A38E2AC2">
      <w:start w:val="1"/>
      <w:numFmt w:val="bullet"/>
      <w:lvlText w:val="·"/>
      <w:lvlJc w:val="left"/>
      <w:pPr>
        <w:ind w:left="720" w:hanging="360"/>
      </w:pPr>
      <w:rPr>
        <w:rFonts w:ascii="Symbol" w:hAnsi="Symbol" w:hint="default"/>
      </w:rPr>
    </w:lvl>
    <w:lvl w:ilvl="1" w:tplc="CE90E2DC">
      <w:start w:val="1"/>
      <w:numFmt w:val="bullet"/>
      <w:lvlText w:val="o"/>
      <w:lvlJc w:val="left"/>
      <w:pPr>
        <w:ind w:left="1440" w:hanging="360"/>
      </w:pPr>
      <w:rPr>
        <w:rFonts w:ascii="Courier New" w:hAnsi="Courier New" w:hint="default"/>
      </w:rPr>
    </w:lvl>
    <w:lvl w:ilvl="2" w:tplc="D862BF86">
      <w:start w:val="1"/>
      <w:numFmt w:val="bullet"/>
      <w:lvlText w:val=""/>
      <w:lvlJc w:val="left"/>
      <w:pPr>
        <w:ind w:left="2160" w:hanging="360"/>
      </w:pPr>
      <w:rPr>
        <w:rFonts w:ascii="Wingdings" w:hAnsi="Wingdings" w:hint="default"/>
      </w:rPr>
    </w:lvl>
    <w:lvl w:ilvl="3" w:tplc="284088CE">
      <w:start w:val="1"/>
      <w:numFmt w:val="bullet"/>
      <w:lvlText w:val=""/>
      <w:lvlJc w:val="left"/>
      <w:pPr>
        <w:ind w:left="2880" w:hanging="360"/>
      </w:pPr>
      <w:rPr>
        <w:rFonts w:ascii="Symbol" w:hAnsi="Symbol" w:hint="default"/>
      </w:rPr>
    </w:lvl>
    <w:lvl w:ilvl="4" w:tplc="DD0A588E">
      <w:start w:val="1"/>
      <w:numFmt w:val="bullet"/>
      <w:lvlText w:val="o"/>
      <w:lvlJc w:val="left"/>
      <w:pPr>
        <w:ind w:left="3600" w:hanging="360"/>
      </w:pPr>
      <w:rPr>
        <w:rFonts w:ascii="Courier New" w:hAnsi="Courier New" w:hint="default"/>
      </w:rPr>
    </w:lvl>
    <w:lvl w:ilvl="5" w:tplc="925EA8AC">
      <w:start w:val="1"/>
      <w:numFmt w:val="bullet"/>
      <w:lvlText w:val=""/>
      <w:lvlJc w:val="left"/>
      <w:pPr>
        <w:ind w:left="4320" w:hanging="360"/>
      </w:pPr>
      <w:rPr>
        <w:rFonts w:ascii="Wingdings" w:hAnsi="Wingdings" w:hint="default"/>
      </w:rPr>
    </w:lvl>
    <w:lvl w:ilvl="6" w:tplc="819E1A9C">
      <w:start w:val="1"/>
      <w:numFmt w:val="bullet"/>
      <w:lvlText w:val=""/>
      <w:lvlJc w:val="left"/>
      <w:pPr>
        <w:ind w:left="5040" w:hanging="360"/>
      </w:pPr>
      <w:rPr>
        <w:rFonts w:ascii="Symbol" w:hAnsi="Symbol" w:hint="default"/>
      </w:rPr>
    </w:lvl>
    <w:lvl w:ilvl="7" w:tplc="2FA64E7C">
      <w:start w:val="1"/>
      <w:numFmt w:val="bullet"/>
      <w:lvlText w:val="o"/>
      <w:lvlJc w:val="left"/>
      <w:pPr>
        <w:ind w:left="5760" w:hanging="360"/>
      </w:pPr>
      <w:rPr>
        <w:rFonts w:ascii="Courier New" w:hAnsi="Courier New" w:hint="default"/>
      </w:rPr>
    </w:lvl>
    <w:lvl w:ilvl="8" w:tplc="58D8D276">
      <w:start w:val="1"/>
      <w:numFmt w:val="bullet"/>
      <w:lvlText w:val=""/>
      <w:lvlJc w:val="left"/>
      <w:pPr>
        <w:ind w:left="6480" w:hanging="360"/>
      </w:pPr>
      <w:rPr>
        <w:rFonts w:ascii="Wingdings" w:hAnsi="Wingdings" w:hint="default"/>
      </w:rPr>
    </w:lvl>
  </w:abstractNum>
  <w:abstractNum w:abstractNumId="77" w15:restartNumberingAfterBreak="0">
    <w:nsid w:val="7687F8B9"/>
    <w:multiLevelType w:val="multilevel"/>
    <w:tmpl w:val="92BA4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6BB4318"/>
    <w:multiLevelType w:val="hybridMultilevel"/>
    <w:tmpl w:val="92E6EC24"/>
    <w:lvl w:ilvl="0" w:tplc="868C28D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E30FCE"/>
    <w:multiLevelType w:val="hybridMultilevel"/>
    <w:tmpl w:val="45009742"/>
    <w:lvl w:ilvl="0" w:tplc="596A9568">
      <w:start w:val="1"/>
      <w:numFmt w:val="bullet"/>
      <w:lvlText w:val="o"/>
      <w:lvlJc w:val="left"/>
      <w:pPr>
        <w:ind w:left="720" w:hanging="360"/>
      </w:pPr>
      <w:rPr>
        <w:rFonts w:ascii="&quot;Courier New&quot;" w:hAnsi="&quot;Courier New&quot;" w:hint="default"/>
      </w:rPr>
    </w:lvl>
    <w:lvl w:ilvl="1" w:tplc="272AE290">
      <w:start w:val="1"/>
      <w:numFmt w:val="bullet"/>
      <w:lvlText w:val="o"/>
      <w:lvlJc w:val="left"/>
      <w:pPr>
        <w:ind w:left="1440" w:hanging="360"/>
      </w:pPr>
      <w:rPr>
        <w:rFonts w:ascii="Courier New" w:hAnsi="Courier New" w:hint="default"/>
      </w:rPr>
    </w:lvl>
    <w:lvl w:ilvl="2" w:tplc="41E2F884">
      <w:start w:val="1"/>
      <w:numFmt w:val="bullet"/>
      <w:lvlText w:val=""/>
      <w:lvlJc w:val="left"/>
      <w:pPr>
        <w:ind w:left="2160" w:hanging="360"/>
      </w:pPr>
      <w:rPr>
        <w:rFonts w:ascii="Wingdings" w:hAnsi="Wingdings" w:hint="default"/>
      </w:rPr>
    </w:lvl>
    <w:lvl w:ilvl="3" w:tplc="988A5902">
      <w:start w:val="1"/>
      <w:numFmt w:val="bullet"/>
      <w:lvlText w:val=""/>
      <w:lvlJc w:val="left"/>
      <w:pPr>
        <w:ind w:left="2880" w:hanging="360"/>
      </w:pPr>
      <w:rPr>
        <w:rFonts w:ascii="Symbol" w:hAnsi="Symbol" w:hint="default"/>
      </w:rPr>
    </w:lvl>
    <w:lvl w:ilvl="4" w:tplc="3B5ED690">
      <w:start w:val="1"/>
      <w:numFmt w:val="bullet"/>
      <w:lvlText w:val="o"/>
      <w:lvlJc w:val="left"/>
      <w:pPr>
        <w:ind w:left="3600" w:hanging="360"/>
      </w:pPr>
      <w:rPr>
        <w:rFonts w:ascii="Courier New" w:hAnsi="Courier New" w:hint="default"/>
      </w:rPr>
    </w:lvl>
    <w:lvl w:ilvl="5" w:tplc="E5C69424">
      <w:start w:val="1"/>
      <w:numFmt w:val="bullet"/>
      <w:lvlText w:val=""/>
      <w:lvlJc w:val="left"/>
      <w:pPr>
        <w:ind w:left="4320" w:hanging="360"/>
      </w:pPr>
      <w:rPr>
        <w:rFonts w:ascii="Wingdings" w:hAnsi="Wingdings" w:hint="default"/>
      </w:rPr>
    </w:lvl>
    <w:lvl w:ilvl="6" w:tplc="A73E872C">
      <w:start w:val="1"/>
      <w:numFmt w:val="bullet"/>
      <w:lvlText w:val=""/>
      <w:lvlJc w:val="left"/>
      <w:pPr>
        <w:ind w:left="5040" w:hanging="360"/>
      </w:pPr>
      <w:rPr>
        <w:rFonts w:ascii="Symbol" w:hAnsi="Symbol" w:hint="default"/>
      </w:rPr>
    </w:lvl>
    <w:lvl w:ilvl="7" w:tplc="4A0E7CA0">
      <w:start w:val="1"/>
      <w:numFmt w:val="bullet"/>
      <w:lvlText w:val="o"/>
      <w:lvlJc w:val="left"/>
      <w:pPr>
        <w:ind w:left="5760" w:hanging="360"/>
      </w:pPr>
      <w:rPr>
        <w:rFonts w:ascii="Courier New" w:hAnsi="Courier New" w:hint="default"/>
      </w:rPr>
    </w:lvl>
    <w:lvl w:ilvl="8" w:tplc="9DECEFA2">
      <w:start w:val="1"/>
      <w:numFmt w:val="bullet"/>
      <w:lvlText w:val=""/>
      <w:lvlJc w:val="left"/>
      <w:pPr>
        <w:ind w:left="6480" w:hanging="360"/>
      </w:pPr>
      <w:rPr>
        <w:rFonts w:ascii="Wingdings" w:hAnsi="Wingdings" w:hint="default"/>
      </w:rPr>
    </w:lvl>
  </w:abstractNum>
  <w:abstractNum w:abstractNumId="80" w15:restartNumberingAfterBreak="0">
    <w:nsid w:val="7BB5217A"/>
    <w:multiLevelType w:val="multilevel"/>
    <w:tmpl w:val="D8A8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C57645D"/>
    <w:multiLevelType w:val="multilevel"/>
    <w:tmpl w:val="33280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4027B5"/>
    <w:multiLevelType w:val="hybridMultilevel"/>
    <w:tmpl w:val="CA5CB2B0"/>
    <w:lvl w:ilvl="0" w:tplc="30440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4028058">
    <w:abstractNumId w:val="56"/>
  </w:num>
  <w:num w:numId="2" w16cid:durableId="1178927142">
    <w:abstractNumId w:val="66"/>
  </w:num>
  <w:num w:numId="3" w16cid:durableId="118692480">
    <w:abstractNumId w:val="4"/>
  </w:num>
  <w:num w:numId="4" w16cid:durableId="467017660">
    <w:abstractNumId w:val="79"/>
  </w:num>
  <w:num w:numId="5" w16cid:durableId="1415393058">
    <w:abstractNumId w:val="41"/>
  </w:num>
  <w:num w:numId="6" w16cid:durableId="550113392">
    <w:abstractNumId w:val="76"/>
  </w:num>
  <w:num w:numId="7" w16cid:durableId="99617564">
    <w:abstractNumId w:val="2"/>
  </w:num>
  <w:num w:numId="8" w16cid:durableId="1868518077">
    <w:abstractNumId w:val="5"/>
  </w:num>
  <w:num w:numId="9" w16cid:durableId="1725330505">
    <w:abstractNumId w:val="6"/>
  </w:num>
  <w:num w:numId="10" w16cid:durableId="1769962171">
    <w:abstractNumId w:val="39"/>
  </w:num>
  <w:num w:numId="11" w16cid:durableId="434254547">
    <w:abstractNumId w:val="59"/>
  </w:num>
  <w:num w:numId="12" w16cid:durableId="1995134460">
    <w:abstractNumId w:val="33"/>
  </w:num>
  <w:num w:numId="13" w16cid:durableId="1550871876">
    <w:abstractNumId w:val="50"/>
  </w:num>
  <w:num w:numId="14" w16cid:durableId="676079922">
    <w:abstractNumId w:val="49"/>
  </w:num>
  <w:num w:numId="15" w16cid:durableId="693578778">
    <w:abstractNumId w:val="67"/>
  </w:num>
  <w:num w:numId="16" w16cid:durableId="230698331">
    <w:abstractNumId w:val="73"/>
  </w:num>
  <w:num w:numId="17" w16cid:durableId="1119252730">
    <w:abstractNumId w:val="55"/>
  </w:num>
  <w:num w:numId="18" w16cid:durableId="1714429312">
    <w:abstractNumId w:val="14"/>
  </w:num>
  <w:num w:numId="19" w16cid:durableId="1800031332">
    <w:abstractNumId w:val="71"/>
  </w:num>
  <w:num w:numId="20" w16cid:durableId="1720740566">
    <w:abstractNumId w:val="29"/>
  </w:num>
  <w:num w:numId="21" w16cid:durableId="1814902907">
    <w:abstractNumId w:val="32"/>
  </w:num>
  <w:num w:numId="22" w16cid:durableId="293021915">
    <w:abstractNumId w:val="45"/>
  </w:num>
  <w:num w:numId="23" w16cid:durableId="230622709">
    <w:abstractNumId w:val="18"/>
  </w:num>
  <w:num w:numId="24" w16cid:durableId="748816537">
    <w:abstractNumId w:val="15"/>
  </w:num>
  <w:num w:numId="25" w16cid:durableId="97063195">
    <w:abstractNumId w:val="27"/>
  </w:num>
  <w:num w:numId="26" w16cid:durableId="1938833201">
    <w:abstractNumId w:val="11"/>
  </w:num>
  <w:num w:numId="27" w16cid:durableId="1863932181">
    <w:abstractNumId w:val="52"/>
  </w:num>
  <w:num w:numId="28" w16cid:durableId="1346831781">
    <w:abstractNumId w:val="20"/>
  </w:num>
  <w:num w:numId="29" w16cid:durableId="1275479312">
    <w:abstractNumId w:val="22"/>
  </w:num>
  <w:num w:numId="30" w16cid:durableId="801851023">
    <w:abstractNumId w:val="63"/>
  </w:num>
  <w:num w:numId="31" w16cid:durableId="507251215">
    <w:abstractNumId w:val="54"/>
  </w:num>
  <w:num w:numId="32" w16cid:durableId="560020732">
    <w:abstractNumId w:val="65"/>
  </w:num>
  <w:num w:numId="33" w16cid:durableId="1194076664">
    <w:abstractNumId w:val="78"/>
  </w:num>
  <w:num w:numId="34" w16cid:durableId="1498882985">
    <w:abstractNumId w:val="69"/>
  </w:num>
  <w:num w:numId="35" w16cid:durableId="1431050127">
    <w:abstractNumId w:val="23"/>
  </w:num>
  <w:num w:numId="36" w16cid:durableId="1590233214">
    <w:abstractNumId w:val="44"/>
  </w:num>
  <w:num w:numId="37" w16cid:durableId="1735812510">
    <w:abstractNumId w:val="72"/>
  </w:num>
  <w:num w:numId="38" w16cid:durableId="453207681">
    <w:abstractNumId w:val="70"/>
  </w:num>
  <w:num w:numId="39" w16cid:durableId="672026132">
    <w:abstractNumId w:val="21"/>
  </w:num>
  <w:num w:numId="40" w16cid:durableId="90400346">
    <w:abstractNumId w:val="53"/>
  </w:num>
  <w:num w:numId="41" w16cid:durableId="1818525123">
    <w:abstractNumId w:val="57"/>
  </w:num>
  <w:num w:numId="42" w16cid:durableId="664019746">
    <w:abstractNumId w:val="26"/>
  </w:num>
  <w:num w:numId="43" w16cid:durableId="1797600441">
    <w:abstractNumId w:val="34"/>
  </w:num>
  <w:num w:numId="44" w16cid:durableId="2062509348">
    <w:abstractNumId w:val="24"/>
  </w:num>
  <w:num w:numId="45" w16cid:durableId="1597864491">
    <w:abstractNumId w:val="38"/>
  </w:num>
  <w:num w:numId="46" w16cid:durableId="693532238">
    <w:abstractNumId w:val="12"/>
  </w:num>
  <w:num w:numId="47" w16cid:durableId="1552308927">
    <w:abstractNumId w:val="64"/>
  </w:num>
  <w:num w:numId="48" w16cid:durableId="410583910">
    <w:abstractNumId w:val="75"/>
  </w:num>
  <w:num w:numId="49" w16cid:durableId="698704898">
    <w:abstractNumId w:val="46"/>
  </w:num>
  <w:num w:numId="50" w16cid:durableId="921258245">
    <w:abstractNumId w:val="77"/>
  </w:num>
  <w:num w:numId="51" w16cid:durableId="316542779">
    <w:abstractNumId w:val="8"/>
  </w:num>
  <w:num w:numId="52" w16cid:durableId="1267738363">
    <w:abstractNumId w:val="62"/>
  </w:num>
  <w:num w:numId="53" w16cid:durableId="588194890">
    <w:abstractNumId w:val="47"/>
  </w:num>
  <w:num w:numId="54" w16cid:durableId="1274629493">
    <w:abstractNumId w:val="19"/>
  </w:num>
  <w:num w:numId="55" w16cid:durableId="1213930566">
    <w:abstractNumId w:val="42"/>
  </w:num>
  <w:num w:numId="56" w16cid:durableId="733159768">
    <w:abstractNumId w:val="43"/>
  </w:num>
  <w:num w:numId="57" w16cid:durableId="1056665175">
    <w:abstractNumId w:val="0"/>
  </w:num>
  <w:num w:numId="58" w16cid:durableId="1862548010">
    <w:abstractNumId w:val="16"/>
  </w:num>
  <w:num w:numId="59" w16cid:durableId="336077318">
    <w:abstractNumId w:val="13"/>
  </w:num>
  <w:num w:numId="60" w16cid:durableId="152337737">
    <w:abstractNumId w:val="81"/>
  </w:num>
  <w:num w:numId="61" w16cid:durableId="537012051">
    <w:abstractNumId w:val="7"/>
  </w:num>
  <w:num w:numId="62" w16cid:durableId="1392801157">
    <w:abstractNumId w:val="37"/>
  </w:num>
  <w:num w:numId="63" w16cid:durableId="1220242582">
    <w:abstractNumId w:val="60"/>
  </w:num>
  <w:num w:numId="64" w16cid:durableId="102770904">
    <w:abstractNumId w:val="80"/>
  </w:num>
  <w:num w:numId="65" w16cid:durableId="913659360">
    <w:abstractNumId w:val="68"/>
  </w:num>
  <w:num w:numId="66" w16cid:durableId="1192843190">
    <w:abstractNumId w:val="48"/>
  </w:num>
  <w:num w:numId="67" w16cid:durableId="1099331526">
    <w:abstractNumId w:val="31"/>
  </w:num>
  <w:num w:numId="68" w16cid:durableId="338430408">
    <w:abstractNumId w:val="61"/>
  </w:num>
  <w:num w:numId="69" w16cid:durableId="1914923549">
    <w:abstractNumId w:val="30"/>
  </w:num>
  <w:num w:numId="70" w16cid:durableId="1803617607">
    <w:abstractNumId w:val="17"/>
  </w:num>
  <w:num w:numId="71" w16cid:durableId="1012993466">
    <w:abstractNumId w:val="58"/>
  </w:num>
  <w:num w:numId="72" w16cid:durableId="873857108">
    <w:abstractNumId w:val="51"/>
  </w:num>
  <w:num w:numId="73" w16cid:durableId="401484259">
    <w:abstractNumId w:val="25"/>
  </w:num>
  <w:num w:numId="74" w16cid:durableId="1181896165">
    <w:abstractNumId w:val="9"/>
  </w:num>
  <w:num w:numId="75" w16cid:durableId="1570576822">
    <w:abstractNumId w:val="10"/>
  </w:num>
  <w:num w:numId="76" w16cid:durableId="808207148">
    <w:abstractNumId w:val="40"/>
  </w:num>
  <w:num w:numId="77" w16cid:durableId="1547913320">
    <w:abstractNumId w:val="74"/>
  </w:num>
  <w:num w:numId="78" w16cid:durableId="37244822">
    <w:abstractNumId w:val="1"/>
  </w:num>
  <w:num w:numId="79" w16cid:durableId="979384227">
    <w:abstractNumId w:val="82"/>
  </w:num>
  <w:num w:numId="80" w16cid:durableId="562913498">
    <w:abstractNumId w:val="3"/>
  </w:num>
  <w:num w:numId="81" w16cid:durableId="1327320203">
    <w:abstractNumId w:val="36"/>
  </w:num>
  <w:num w:numId="82" w16cid:durableId="944771278">
    <w:abstractNumId w:val="35"/>
  </w:num>
  <w:num w:numId="83" w16cid:durableId="1632591088">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6C"/>
    <w:rsid w:val="000000A1"/>
    <w:rsid w:val="00001485"/>
    <w:rsid w:val="00001A9B"/>
    <w:rsid w:val="0000238B"/>
    <w:rsid w:val="000023EE"/>
    <w:rsid w:val="00002E64"/>
    <w:rsid w:val="00003A4A"/>
    <w:rsid w:val="00003B27"/>
    <w:rsid w:val="0000545B"/>
    <w:rsid w:val="00005731"/>
    <w:rsid w:val="00005CA9"/>
    <w:rsid w:val="000070E2"/>
    <w:rsid w:val="000105F2"/>
    <w:rsid w:val="00010CFD"/>
    <w:rsid w:val="00012001"/>
    <w:rsid w:val="00012FA2"/>
    <w:rsid w:val="0001308A"/>
    <w:rsid w:val="00013090"/>
    <w:rsid w:val="00014356"/>
    <w:rsid w:val="00014368"/>
    <w:rsid w:val="00014438"/>
    <w:rsid w:val="000146AF"/>
    <w:rsid w:val="000150DB"/>
    <w:rsid w:val="000155EA"/>
    <w:rsid w:val="0001774F"/>
    <w:rsid w:val="0002080D"/>
    <w:rsid w:val="00020983"/>
    <w:rsid w:val="00020F8A"/>
    <w:rsid w:val="00021F22"/>
    <w:rsid w:val="00023C60"/>
    <w:rsid w:val="000248B5"/>
    <w:rsid w:val="00024FB8"/>
    <w:rsid w:val="000255CA"/>
    <w:rsid w:val="00025AC0"/>
    <w:rsid w:val="00026EA8"/>
    <w:rsid w:val="0003074F"/>
    <w:rsid w:val="0003132A"/>
    <w:rsid w:val="000316DF"/>
    <w:rsid w:val="00031AF0"/>
    <w:rsid w:val="00032C06"/>
    <w:rsid w:val="0003308E"/>
    <w:rsid w:val="000338B1"/>
    <w:rsid w:val="000348C5"/>
    <w:rsid w:val="00034BB8"/>
    <w:rsid w:val="00034E7E"/>
    <w:rsid w:val="00035F8E"/>
    <w:rsid w:val="00036F79"/>
    <w:rsid w:val="00043F9F"/>
    <w:rsid w:val="000460F2"/>
    <w:rsid w:val="00046113"/>
    <w:rsid w:val="000462BC"/>
    <w:rsid w:val="00047996"/>
    <w:rsid w:val="00047A73"/>
    <w:rsid w:val="000510F8"/>
    <w:rsid w:val="000512BE"/>
    <w:rsid w:val="000513B7"/>
    <w:rsid w:val="000517C6"/>
    <w:rsid w:val="00052013"/>
    <w:rsid w:val="00052361"/>
    <w:rsid w:val="0005414C"/>
    <w:rsid w:val="000563DD"/>
    <w:rsid w:val="00056B59"/>
    <w:rsid w:val="0005752E"/>
    <w:rsid w:val="000609FE"/>
    <w:rsid w:val="00060AFA"/>
    <w:rsid w:val="000617D7"/>
    <w:rsid w:val="000626E3"/>
    <w:rsid w:val="000628BF"/>
    <w:rsid w:val="00062D87"/>
    <w:rsid w:val="000632B6"/>
    <w:rsid w:val="00063E8F"/>
    <w:rsid w:val="0006511D"/>
    <w:rsid w:val="00065FAD"/>
    <w:rsid w:val="00066048"/>
    <w:rsid w:val="00066708"/>
    <w:rsid w:val="0006697A"/>
    <w:rsid w:val="000674E6"/>
    <w:rsid w:val="00070103"/>
    <w:rsid w:val="00071B56"/>
    <w:rsid w:val="0007276C"/>
    <w:rsid w:val="0007399F"/>
    <w:rsid w:val="00073A6E"/>
    <w:rsid w:val="00073D7B"/>
    <w:rsid w:val="00075F7A"/>
    <w:rsid w:val="0007635C"/>
    <w:rsid w:val="00076A20"/>
    <w:rsid w:val="00076BCE"/>
    <w:rsid w:val="00076D2A"/>
    <w:rsid w:val="00076DED"/>
    <w:rsid w:val="0007710F"/>
    <w:rsid w:val="00081F68"/>
    <w:rsid w:val="00086BE7"/>
    <w:rsid w:val="00087C12"/>
    <w:rsid w:val="00087F2D"/>
    <w:rsid w:val="00090B7E"/>
    <w:rsid w:val="000911A9"/>
    <w:rsid w:val="0009146A"/>
    <w:rsid w:val="00092144"/>
    <w:rsid w:val="00092334"/>
    <w:rsid w:val="000932E7"/>
    <w:rsid w:val="00094B9B"/>
    <w:rsid w:val="00094C80"/>
    <w:rsid w:val="00095024"/>
    <w:rsid w:val="000978BF"/>
    <w:rsid w:val="00097CEB"/>
    <w:rsid w:val="000A141B"/>
    <w:rsid w:val="000A1E28"/>
    <w:rsid w:val="000A27D6"/>
    <w:rsid w:val="000A4795"/>
    <w:rsid w:val="000A52E5"/>
    <w:rsid w:val="000A56D7"/>
    <w:rsid w:val="000A67F2"/>
    <w:rsid w:val="000A69C9"/>
    <w:rsid w:val="000A6AA7"/>
    <w:rsid w:val="000A6F29"/>
    <w:rsid w:val="000A7B95"/>
    <w:rsid w:val="000B0922"/>
    <w:rsid w:val="000B1738"/>
    <w:rsid w:val="000B2E10"/>
    <w:rsid w:val="000B403B"/>
    <w:rsid w:val="000B44C0"/>
    <w:rsid w:val="000B4753"/>
    <w:rsid w:val="000B4D8C"/>
    <w:rsid w:val="000B5224"/>
    <w:rsid w:val="000B5923"/>
    <w:rsid w:val="000B5AC3"/>
    <w:rsid w:val="000B7B37"/>
    <w:rsid w:val="000C1801"/>
    <w:rsid w:val="000C23EB"/>
    <w:rsid w:val="000C3233"/>
    <w:rsid w:val="000C4721"/>
    <w:rsid w:val="000C483C"/>
    <w:rsid w:val="000C548D"/>
    <w:rsid w:val="000C6020"/>
    <w:rsid w:val="000C6772"/>
    <w:rsid w:val="000C68F4"/>
    <w:rsid w:val="000C6FE0"/>
    <w:rsid w:val="000C7E27"/>
    <w:rsid w:val="000D0FFF"/>
    <w:rsid w:val="000D110B"/>
    <w:rsid w:val="000D16F8"/>
    <w:rsid w:val="000D3E2C"/>
    <w:rsid w:val="000D46F9"/>
    <w:rsid w:val="000D50D9"/>
    <w:rsid w:val="000D5CFE"/>
    <w:rsid w:val="000D6404"/>
    <w:rsid w:val="000D696B"/>
    <w:rsid w:val="000E007B"/>
    <w:rsid w:val="000E02DB"/>
    <w:rsid w:val="000E1483"/>
    <w:rsid w:val="000E3A7F"/>
    <w:rsid w:val="000E4853"/>
    <w:rsid w:val="000E4DFE"/>
    <w:rsid w:val="000E5616"/>
    <w:rsid w:val="000E5D19"/>
    <w:rsid w:val="000E7B48"/>
    <w:rsid w:val="000F16A3"/>
    <w:rsid w:val="000F2271"/>
    <w:rsid w:val="000F48E8"/>
    <w:rsid w:val="000F4F0B"/>
    <w:rsid w:val="000F4F67"/>
    <w:rsid w:val="000F5E44"/>
    <w:rsid w:val="000F6155"/>
    <w:rsid w:val="000F618A"/>
    <w:rsid w:val="000F6515"/>
    <w:rsid w:val="0010074B"/>
    <w:rsid w:val="001023A7"/>
    <w:rsid w:val="001023D4"/>
    <w:rsid w:val="001026BF"/>
    <w:rsid w:val="00103BDF"/>
    <w:rsid w:val="001040FD"/>
    <w:rsid w:val="00104DCB"/>
    <w:rsid w:val="00106865"/>
    <w:rsid w:val="001101B2"/>
    <w:rsid w:val="00110B36"/>
    <w:rsid w:val="00110CCA"/>
    <w:rsid w:val="00111E31"/>
    <w:rsid w:val="001136CC"/>
    <w:rsid w:val="00113F1F"/>
    <w:rsid w:val="00114927"/>
    <w:rsid w:val="00114C25"/>
    <w:rsid w:val="001150C0"/>
    <w:rsid w:val="001150D2"/>
    <w:rsid w:val="0011670E"/>
    <w:rsid w:val="00116CB5"/>
    <w:rsid w:val="00117535"/>
    <w:rsid w:val="00117D3A"/>
    <w:rsid w:val="0012115E"/>
    <w:rsid w:val="00121566"/>
    <w:rsid w:val="0012165D"/>
    <w:rsid w:val="00122B2A"/>
    <w:rsid w:val="00122BE7"/>
    <w:rsid w:val="00122EFB"/>
    <w:rsid w:val="00124370"/>
    <w:rsid w:val="001247DA"/>
    <w:rsid w:val="00126F80"/>
    <w:rsid w:val="0012759D"/>
    <w:rsid w:val="00127990"/>
    <w:rsid w:val="00130668"/>
    <w:rsid w:val="00130835"/>
    <w:rsid w:val="00131B6F"/>
    <w:rsid w:val="00132F98"/>
    <w:rsid w:val="00133341"/>
    <w:rsid w:val="0013417A"/>
    <w:rsid w:val="001351F9"/>
    <w:rsid w:val="00136F64"/>
    <w:rsid w:val="001371C5"/>
    <w:rsid w:val="00137C43"/>
    <w:rsid w:val="0014001E"/>
    <w:rsid w:val="0014047F"/>
    <w:rsid w:val="00140EBF"/>
    <w:rsid w:val="001414C9"/>
    <w:rsid w:val="00142488"/>
    <w:rsid w:val="00145188"/>
    <w:rsid w:val="00145B1B"/>
    <w:rsid w:val="0014728C"/>
    <w:rsid w:val="001477DB"/>
    <w:rsid w:val="00150403"/>
    <w:rsid w:val="00151782"/>
    <w:rsid w:val="00151E54"/>
    <w:rsid w:val="001530E1"/>
    <w:rsid w:val="0015424E"/>
    <w:rsid w:val="001551B8"/>
    <w:rsid w:val="00155644"/>
    <w:rsid w:val="00156942"/>
    <w:rsid w:val="00160429"/>
    <w:rsid w:val="00161A97"/>
    <w:rsid w:val="00161B49"/>
    <w:rsid w:val="00161C75"/>
    <w:rsid w:val="001630FA"/>
    <w:rsid w:val="0016364D"/>
    <w:rsid w:val="00163697"/>
    <w:rsid w:val="00163CF6"/>
    <w:rsid w:val="001640FA"/>
    <w:rsid w:val="001659C4"/>
    <w:rsid w:val="00165FD4"/>
    <w:rsid w:val="0016752C"/>
    <w:rsid w:val="00167A40"/>
    <w:rsid w:val="00170ECF"/>
    <w:rsid w:val="001719C6"/>
    <w:rsid w:val="00171BE6"/>
    <w:rsid w:val="001720D7"/>
    <w:rsid w:val="0017270B"/>
    <w:rsid w:val="0017288F"/>
    <w:rsid w:val="001735B2"/>
    <w:rsid w:val="00173934"/>
    <w:rsid w:val="00173CA6"/>
    <w:rsid w:val="00173F27"/>
    <w:rsid w:val="00174275"/>
    <w:rsid w:val="00174D26"/>
    <w:rsid w:val="0017522D"/>
    <w:rsid w:val="001755F9"/>
    <w:rsid w:val="001757BC"/>
    <w:rsid w:val="00176F43"/>
    <w:rsid w:val="00177C59"/>
    <w:rsid w:val="001804F5"/>
    <w:rsid w:val="00180823"/>
    <w:rsid w:val="00180CCF"/>
    <w:rsid w:val="00181373"/>
    <w:rsid w:val="00183583"/>
    <w:rsid w:val="00184873"/>
    <w:rsid w:val="001851B9"/>
    <w:rsid w:val="001854EA"/>
    <w:rsid w:val="0018554E"/>
    <w:rsid w:val="0018626A"/>
    <w:rsid w:val="00186946"/>
    <w:rsid w:val="00187A53"/>
    <w:rsid w:val="0019282B"/>
    <w:rsid w:val="0019604E"/>
    <w:rsid w:val="00196F50"/>
    <w:rsid w:val="0019754B"/>
    <w:rsid w:val="001A039A"/>
    <w:rsid w:val="001A1357"/>
    <w:rsid w:val="001A16D7"/>
    <w:rsid w:val="001A3263"/>
    <w:rsid w:val="001A4062"/>
    <w:rsid w:val="001A40E6"/>
    <w:rsid w:val="001A46D7"/>
    <w:rsid w:val="001A586D"/>
    <w:rsid w:val="001A5B57"/>
    <w:rsid w:val="001A5E74"/>
    <w:rsid w:val="001A6F19"/>
    <w:rsid w:val="001A7739"/>
    <w:rsid w:val="001B08D8"/>
    <w:rsid w:val="001B1449"/>
    <w:rsid w:val="001B1BD7"/>
    <w:rsid w:val="001B2CB1"/>
    <w:rsid w:val="001B67A1"/>
    <w:rsid w:val="001B7098"/>
    <w:rsid w:val="001C0722"/>
    <w:rsid w:val="001C17D7"/>
    <w:rsid w:val="001C357C"/>
    <w:rsid w:val="001C38E6"/>
    <w:rsid w:val="001C448B"/>
    <w:rsid w:val="001C4B1F"/>
    <w:rsid w:val="001C4CF6"/>
    <w:rsid w:val="001C5FF9"/>
    <w:rsid w:val="001C6422"/>
    <w:rsid w:val="001C6B33"/>
    <w:rsid w:val="001C6EF1"/>
    <w:rsid w:val="001C7EFA"/>
    <w:rsid w:val="001D1769"/>
    <w:rsid w:val="001D17F0"/>
    <w:rsid w:val="001D25E9"/>
    <w:rsid w:val="001D2CA3"/>
    <w:rsid w:val="001D2E1D"/>
    <w:rsid w:val="001D3797"/>
    <w:rsid w:val="001D3988"/>
    <w:rsid w:val="001D597D"/>
    <w:rsid w:val="001D7644"/>
    <w:rsid w:val="001D7B14"/>
    <w:rsid w:val="001D7DF1"/>
    <w:rsid w:val="001E16D8"/>
    <w:rsid w:val="001E19B1"/>
    <w:rsid w:val="001E1B18"/>
    <w:rsid w:val="001E2C48"/>
    <w:rsid w:val="001E3FA3"/>
    <w:rsid w:val="001E4EA1"/>
    <w:rsid w:val="001E666A"/>
    <w:rsid w:val="001E718E"/>
    <w:rsid w:val="001E7D2D"/>
    <w:rsid w:val="001E7D65"/>
    <w:rsid w:val="001F0793"/>
    <w:rsid w:val="001F1AEA"/>
    <w:rsid w:val="001F1B21"/>
    <w:rsid w:val="001F2D56"/>
    <w:rsid w:val="001F38A4"/>
    <w:rsid w:val="001F3FB2"/>
    <w:rsid w:val="001F7BC3"/>
    <w:rsid w:val="001F7CFE"/>
    <w:rsid w:val="0020058B"/>
    <w:rsid w:val="00200AF7"/>
    <w:rsid w:val="00200C07"/>
    <w:rsid w:val="00201244"/>
    <w:rsid w:val="00202648"/>
    <w:rsid w:val="002039B8"/>
    <w:rsid w:val="00204B1F"/>
    <w:rsid w:val="00204D3A"/>
    <w:rsid w:val="00206191"/>
    <w:rsid w:val="00206470"/>
    <w:rsid w:val="0020721D"/>
    <w:rsid w:val="002078B8"/>
    <w:rsid w:val="00207B88"/>
    <w:rsid w:val="00210529"/>
    <w:rsid w:val="00210913"/>
    <w:rsid w:val="002110CD"/>
    <w:rsid w:val="00212303"/>
    <w:rsid w:val="00213EA5"/>
    <w:rsid w:val="00214265"/>
    <w:rsid w:val="00215AE2"/>
    <w:rsid w:val="00215F30"/>
    <w:rsid w:val="00216A83"/>
    <w:rsid w:val="00216F1F"/>
    <w:rsid w:val="002173EB"/>
    <w:rsid w:val="0021780D"/>
    <w:rsid w:val="00220651"/>
    <w:rsid w:val="0022067B"/>
    <w:rsid w:val="00220935"/>
    <w:rsid w:val="00221555"/>
    <w:rsid w:val="00221FE5"/>
    <w:rsid w:val="002225B9"/>
    <w:rsid w:val="00222B4A"/>
    <w:rsid w:val="002236D3"/>
    <w:rsid w:val="00223BB5"/>
    <w:rsid w:val="00224A7F"/>
    <w:rsid w:val="00225513"/>
    <w:rsid w:val="00226C63"/>
    <w:rsid w:val="00226DBB"/>
    <w:rsid w:val="002279E3"/>
    <w:rsid w:val="0023022F"/>
    <w:rsid w:val="00230534"/>
    <w:rsid w:val="002308E4"/>
    <w:rsid w:val="0023156D"/>
    <w:rsid w:val="0023187A"/>
    <w:rsid w:val="002336BB"/>
    <w:rsid w:val="00235BFE"/>
    <w:rsid w:val="002367C5"/>
    <w:rsid w:val="00237EAE"/>
    <w:rsid w:val="002409A0"/>
    <w:rsid w:val="00240F27"/>
    <w:rsid w:val="00241101"/>
    <w:rsid w:val="00241953"/>
    <w:rsid w:val="0024235A"/>
    <w:rsid w:val="002435A5"/>
    <w:rsid w:val="00243BEC"/>
    <w:rsid w:val="00245696"/>
    <w:rsid w:val="002460EF"/>
    <w:rsid w:val="00246E49"/>
    <w:rsid w:val="00246F81"/>
    <w:rsid w:val="0024742D"/>
    <w:rsid w:val="00247735"/>
    <w:rsid w:val="00252679"/>
    <w:rsid w:val="00254C22"/>
    <w:rsid w:val="00256947"/>
    <w:rsid w:val="002601C8"/>
    <w:rsid w:val="00262B04"/>
    <w:rsid w:val="00262DD6"/>
    <w:rsid w:val="002640E7"/>
    <w:rsid w:val="002645E6"/>
    <w:rsid w:val="00266101"/>
    <w:rsid w:val="00266BFA"/>
    <w:rsid w:val="002677DA"/>
    <w:rsid w:val="0027032F"/>
    <w:rsid w:val="00270342"/>
    <w:rsid w:val="002710D2"/>
    <w:rsid w:val="00271BB3"/>
    <w:rsid w:val="00272BB8"/>
    <w:rsid w:val="00273362"/>
    <w:rsid w:val="00273FE3"/>
    <w:rsid w:val="002769EC"/>
    <w:rsid w:val="00277980"/>
    <w:rsid w:val="00277C01"/>
    <w:rsid w:val="002810CF"/>
    <w:rsid w:val="0028250A"/>
    <w:rsid w:val="002827B8"/>
    <w:rsid w:val="002830B7"/>
    <w:rsid w:val="00283159"/>
    <w:rsid w:val="00283178"/>
    <w:rsid w:val="00283299"/>
    <w:rsid w:val="002833A4"/>
    <w:rsid w:val="002843B5"/>
    <w:rsid w:val="0028572B"/>
    <w:rsid w:val="00286F88"/>
    <w:rsid w:val="00287080"/>
    <w:rsid w:val="00287B08"/>
    <w:rsid w:val="002900E6"/>
    <w:rsid w:val="00290748"/>
    <w:rsid w:val="0029102D"/>
    <w:rsid w:val="0029148E"/>
    <w:rsid w:val="00291CE5"/>
    <w:rsid w:val="0029203E"/>
    <w:rsid w:val="00293877"/>
    <w:rsid w:val="00293941"/>
    <w:rsid w:val="002949BF"/>
    <w:rsid w:val="00294FE8"/>
    <w:rsid w:val="00295490"/>
    <w:rsid w:val="00295C26"/>
    <w:rsid w:val="00296DBF"/>
    <w:rsid w:val="002977E9"/>
    <w:rsid w:val="00297D41"/>
    <w:rsid w:val="002A0EEA"/>
    <w:rsid w:val="002A1082"/>
    <w:rsid w:val="002A163C"/>
    <w:rsid w:val="002A1956"/>
    <w:rsid w:val="002A19F0"/>
    <w:rsid w:val="002A1A97"/>
    <w:rsid w:val="002A1D71"/>
    <w:rsid w:val="002A258C"/>
    <w:rsid w:val="002A303D"/>
    <w:rsid w:val="002A30DB"/>
    <w:rsid w:val="002A32DE"/>
    <w:rsid w:val="002A335C"/>
    <w:rsid w:val="002A3825"/>
    <w:rsid w:val="002A4473"/>
    <w:rsid w:val="002A44C4"/>
    <w:rsid w:val="002A455E"/>
    <w:rsid w:val="002A6D5B"/>
    <w:rsid w:val="002A6E3C"/>
    <w:rsid w:val="002A781A"/>
    <w:rsid w:val="002A7D21"/>
    <w:rsid w:val="002B0186"/>
    <w:rsid w:val="002B06ED"/>
    <w:rsid w:val="002B0C20"/>
    <w:rsid w:val="002B0C57"/>
    <w:rsid w:val="002B1C66"/>
    <w:rsid w:val="002B2890"/>
    <w:rsid w:val="002B31EB"/>
    <w:rsid w:val="002B580A"/>
    <w:rsid w:val="002B60EF"/>
    <w:rsid w:val="002B6EFA"/>
    <w:rsid w:val="002B76A9"/>
    <w:rsid w:val="002C12C5"/>
    <w:rsid w:val="002C290C"/>
    <w:rsid w:val="002C2EEC"/>
    <w:rsid w:val="002C3A25"/>
    <w:rsid w:val="002C3C7A"/>
    <w:rsid w:val="002C53C4"/>
    <w:rsid w:val="002C570E"/>
    <w:rsid w:val="002C731E"/>
    <w:rsid w:val="002D0691"/>
    <w:rsid w:val="002D16C5"/>
    <w:rsid w:val="002D1B98"/>
    <w:rsid w:val="002D1DD6"/>
    <w:rsid w:val="002D3396"/>
    <w:rsid w:val="002D37EB"/>
    <w:rsid w:val="002D3F24"/>
    <w:rsid w:val="002D409A"/>
    <w:rsid w:val="002D4BD0"/>
    <w:rsid w:val="002D5A3A"/>
    <w:rsid w:val="002D5D70"/>
    <w:rsid w:val="002D78B1"/>
    <w:rsid w:val="002E0A50"/>
    <w:rsid w:val="002E0E3E"/>
    <w:rsid w:val="002E1836"/>
    <w:rsid w:val="002E1BBA"/>
    <w:rsid w:val="002E1E10"/>
    <w:rsid w:val="002E38C9"/>
    <w:rsid w:val="002E395D"/>
    <w:rsid w:val="002E3DE5"/>
    <w:rsid w:val="002E3FB4"/>
    <w:rsid w:val="002E5FFC"/>
    <w:rsid w:val="002E7565"/>
    <w:rsid w:val="002E7C7C"/>
    <w:rsid w:val="002F0168"/>
    <w:rsid w:val="002F08B7"/>
    <w:rsid w:val="002F0E97"/>
    <w:rsid w:val="002F2779"/>
    <w:rsid w:val="002F2811"/>
    <w:rsid w:val="002F2AFF"/>
    <w:rsid w:val="002F3473"/>
    <w:rsid w:val="002F35C0"/>
    <w:rsid w:val="002F396E"/>
    <w:rsid w:val="002F3EA2"/>
    <w:rsid w:val="002F46D7"/>
    <w:rsid w:val="002F4A7C"/>
    <w:rsid w:val="002F4A84"/>
    <w:rsid w:val="002F5D9B"/>
    <w:rsid w:val="002F6934"/>
    <w:rsid w:val="002F7BAC"/>
    <w:rsid w:val="003003DF"/>
    <w:rsid w:val="00300447"/>
    <w:rsid w:val="003021AC"/>
    <w:rsid w:val="00304E86"/>
    <w:rsid w:val="003055A5"/>
    <w:rsid w:val="00306194"/>
    <w:rsid w:val="00306424"/>
    <w:rsid w:val="0030648F"/>
    <w:rsid w:val="00306ED9"/>
    <w:rsid w:val="003075BF"/>
    <w:rsid w:val="003111B4"/>
    <w:rsid w:val="003119A4"/>
    <w:rsid w:val="00312E37"/>
    <w:rsid w:val="00313D46"/>
    <w:rsid w:val="0031530F"/>
    <w:rsid w:val="0031562D"/>
    <w:rsid w:val="00315DD8"/>
    <w:rsid w:val="003163AE"/>
    <w:rsid w:val="00317AC4"/>
    <w:rsid w:val="0032236F"/>
    <w:rsid w:val="00322982"/>
    <w:rsid w:val="00323494"/>
    <w:rsid w:val="0032400A"/>
    <w:rsid w:val="0032639D"/>
    <w:rsid w:val="00326894"/>
    <w:rsid w:val="003268DA"/>
    <w:rsid w:val="00326B58"/>
    <w:rsid w:val="003273A1"/>
    <w:rsid w:val="0032765D"/>
    <w:rsid w:val="00333AEF"/>
    <w:rsid w:val="00334054"/>
    <w:rsid w:val="0033479F"/>
    <w:rsid w:val="00337345"/>
    <w:rsid w:val="00340D35"/>
    <w:rsid w:val="00343555"/>
    <w:rsid w:val="00343F75"/>
    <w:rsid w:val="00343F99"/>
    <w:rsid w:val="0034430A"/>
    <w:rsid w:val="0034563B"/>
    <w:rsid w:val="0034570A"/>
    <w:rsid w:val="0034577B"/>
    <w:rsid w:val="00345AEF"/>
    <w:rsid w:val="00350830"/>
    <w:rsid w:val="0035109B"/>
    <w:rsid w:val="00351821"/>
    <w:rsid w:val="0035202C"/>
    <w:rsid w:val="003525D5"/>
    <w:rsid w:val="003535DB"/>
    <w:rsid w:val="003536A4"/>
    <w:rsid w:val="00354BD7"/>
    <w:rsid w:val="00354D25"/>
    <w:rsid w:val="00355751"/>
    <w:rsid w:val="00355838"/>
    <w:rsid w:val="003566D6"/>
    <w:rsid w:val="0035696D"/>
    <w:rsid w:val="003572F0"/>
    <w:rsid w:val="0036018E"/>
    <w:rsid w:val="003606CC"/>
    <w:rsid w:val="0036080B"/>
    <w:rsid w:val="0036095F"/>
    <w:rsid w:val="003619FD"/>
    <w:rsid w:val="00362011"/>
    <w:rsid w:val="003627B2"/>
    <w:rsid w:val="00362B8C"/>
    <w:rsid w:val="00364891"/>
    <w:rsid w:val="003656C3"/>
    <w:rsid w:val="00366CB7"/>
    <w:rsid w:val="00367370"/>
    <w:rsid w:val="003700CD"/>
    <w:rsid w:val="00370A8E"/>
    <w:rsid w:val="00370F0D"/>
    <w:rsid w:val="003715F3"/>
    <w:rsid w:val="003719CF"/>
    <w:rsid w:val="00371AB1"/>
    <w:rsid w:val="003729A0"/>
    <w:rsid w:val="0037359B"/>
    <w:rsid w:val="00374116"/>
    <w:rsid w:val="003742D2"/>
    <w:rsid w:val="00374B79"/>
    <w:rsid w:val="00374D8E"/>
    <w:rsid w:val="003767C2"/>
    <w:rsid w:val="00382510"/>
    <w:rsid w:val="003825A3"/>
    <w:rsid w:val="00382B19"/>
    <w:rsid w:val="00382C53"/>
    <w:rsid w:val="00382C9B"/>
    <w:rsid w:val="00382F01"/>
    <w:rsid w:val="00383192"/>
    <w:rsid w:val="00384951"/>
    <w:rsid w:val="003857A0"/>
    <w:rsid w:val="003859DD"/>
    <w:rsid w:val="003873D7"/>
    <w:rsid w:val="0039122D"/>
    <w:rsid w:val="00391446"/>
    <w:rsid w:val="00391F45"/>
    <w:rsid w:val="003921CE"/>
    <w:rsid w:val="00394378"/>
    <w:rsid w:val="00395232"/>
    <w:rsid w:val="00395B91"/>
    <w:rsid w:val="00395EC9"/>
    <w:rsid w:val="003967C2"/>
    <w:rsid w:val="003A000D"/>
    <w:rsid w:val="003A4E2B"/>
    <w:rsid w:val="003A5586"/>
    <w:rsid w:val="003A6364"/>
    <w:rsid w:val="003A7098"/>
    <w:rsid w:val="003A7242"/>
    <w:rsid w:val="003A7915"/>
    <w:rsid w:val="003B00A6"/>
    <w:rsid w:val="003B0221"/>
    <w:rsid w:val="003B0A9C"/>
    <w:rsid w:val="003B0C22"/>
    <w:rsid w:val="003B0FE8"/>
    <w:rsid w:val="003B1798"/>
    <w:rsid w:val="003B18FB"/>
    <w:rsid w:val="003B1A30"/>
    <w:rsid w:val="003B1DD5"/>
    <w:rsid w:val="003B2584"/>
    <w:rsid w:val="003B37BB"/>
    <w:rsid w:val="003B3826"/>
    <w:rsid w:val="003B4330"/>
    <w:rsid w:val="003B488A"/>
    <w:rsid w:val="003B51BA"/>
    <w:rsid w:val="003B69CD"/>
    <w:rsid w:val="003B74E2"/>
    <w:rsid w:val="003B7CD4"/>
    <w:rsid w:val="003C00CF"/>
    <w:rsid w:val="003C1941"/>
    <w:rsid w:val="003C203D"/>
    <w:rsid w:val="003C313E"/>
    <w:rsid w:val="003C401D"/>
    <w:rsid w:val="003C5892"/>
    <w:rsid w:val="003C6087"/>
    <w:rsid w:val="003C6B5C"/>
    <w:rsid w:val="003C6D6E"/>
    <w:rsid w:val="003D09D8"/>
    <w:rsid w:val="003D3CB0"/>
    <w:rsid w:val="003D473F"/>
    <w:rsid w:val="003D4DA3"/>
    <w:rsid w:val="003D54BF"/>
    <w:rsid w:val="003D56ED"/>
    <w:rsid w:val="003D65FD"/>
    <w:rsid w:val="003D6958"/>
    <w:rsid w:val="003D6F46"/>
    <w:rsid w:val="003E108B"/>
    <w:rsid w:val="003E10BF"/>
    <w:rsid w:val="003E1425"/>
    <w:rsid w:val="003E202D"/>
    <w:rsid w:val="003E2335"/>
    <w:rsid w:val="003E28AE"/>
    <w:rsid w:val="003E3EA5"/>
    <w:rsid w:val="003E4957"/>
    <w:rsid w:val="003E4BAA"/>
    <w:rsid w:val="003E4E0C"/>
    <w:rsid w:val="003E5594"/>
    <w:rsid w:val="003E58FA"/>
    <w:rsid w:val="003E62D0"/>
    <w:rsid w:val="003E68FB"/>
    <w:rsid w:val="003E6CA4"/>
    <w:rsid w:val="003F020F"/>
    <w:rsid w:val="003F046E"/>
    <w:rsid w:val="003F18CF"/>
    <w:rsid w:val="003F4304"/>
    <w:rsid w:val="003F5596"/>
    <w:rsid w:val="003F5A94"/>
    <w:rsid w:val="003F5A9F"/>
    <w:rsid w:val="003F610A"/>
    <w:rsid w:val="003F62D3"/>
    <w:rsid w:val="003F746D"/>
    <w:rsid w:val="00401B7E"/>
    <w:rsid w:val="00402FA4"/>
    <w:rsid w:val="004035AC"/>
    <w:rsid w:val="00403CE7"/>
    <w:rsid w:val="004048A7"/>
    <w:rsid w:val="00404E34"/>
    <w:rsid w:val="004051C2"/>
    <w:rsid w:val="00405272"/>
    <w:rsid w:val="00405366"/>
    <w:rsid w:val="004053D9"/>
    <w:rsid w:val="00405531"/>
    <w:rsid w:val="00405E47"/>
    <w:rsid w:val="004064C0"/>
    <w:rsid w:val="00407B97"/>
    <w:rsid w:val="00410E3E"/>
    <w:rsid w:val="00412943"/>
    <w:rsid w:val="004135B7"/>
    <w:rsid w:val="00413636"/>
    <w:rsid w:val="004148BB"/>
    <w:rsid w:val="00414970"/>
    <w:rsid w:val="004157A8"/>
    <w:rsid w:val="00415C38"/>
    <w:rsid w:val="00416C6F"/>
    <w:rsid w:val="00420020"/>
    <w:rsid w:val="00421171"/>
    <w:rsid w:val="004215D2"/>
    <w:rsid w:val="00421AB2"/>
    <w:rsid w:val="00422202"/>
    <w:rsid w:val="00424BD8"/>
    <w:rsid w:val="00424ECE"/>
    <w:rsid w:val="00425963"/>
    <w:rsid w:val="00426BD7"/>
    <w:rsid w:val="00426FDA"/>
    <w:rsid w:val="00427E4F"/>
    <w:rsid w:val="0043000D"/>
    <w:rsid w:val="004304C7"/>
    <w:rsid w:val="004307D6"/>
    <w:rsid w:val="00430DC9"/>
    <w:rsid w:val="00431C5D"/>
    <w:rsid w:val="00432E7E"/>
    <w:rsid w:val="0043377E"/>
    <w:rsid w:val="00433B9D"/>
    <w:rsid w:val="00433DA7"/>
    <w:rsid w:val="004350F4"/>
    <w:rsid w:val="00436B2D"/>
    <w:rsid w:val="004373CF"/>
    <w:rsid w:val="004375AB"/>
    <w:rsid w:val="00441613"/>
    <w:rsid w:val="004443F1"/>
    <w:rsid w:val="00444DB3"/>
    <w:rsid w:val="00445493"/>
    <w:rsid w:val="00446166"/>
    <w:rsid w:val="004468B2"/>
    <w:rsid w:val="004473BB"/>
    <w:rsid w:val="0045025A"/>
    <w:rsid w:val="00450674"/>
    <w:rsid w:val="00450C52"/>
    <w:rsid w:val="00451FEF"/>
    <w:rsid w:val="004523DB"/>
    <w:rsid w:val="0045254C"/>
    <w:rsid w:val="00452880"/>
    <w:rsid w:val="00452923"/>
    <w:rsid w:val="00452A89"/>
    <w:rsid w:val="00453E45"/>
    <w:rsid w:val="0045504E"/>
    <w:rsid w:val="00455EE3"/>
    <w:rsid w:val="0045674F"/>
    <w:rsid w:val="00456843"/>
    <w:rsid w:val="0045691E"/>
    <w:rsid w:val="004575E6"/>
    <w:rsid w:val="00457D9E"/>
    <w:rsid w:val="0046006E"/>
    <w:rsid w:val="004603D6"/>
    <w:rsid w:val="004613E7"/>
    <w:rsid w:val="004630CA"/>
    <w:rsid w:val="004639FD"/>
    <w:rsid w:val="00465B63"/>
    <w:rsid w:val="00465DF9"/>
    <w:rsid w:val="00466167"/>
    <w:rsid w:val="004663C3"/>
    <w:rsid w:val="00466535"/>
    <w:rsid w:val="00466AD5"/>
    <w:rsid w:val="00466E14"/>
    <w:rsid w:val="004675A0"/>
    <w:rsid w:val="004675C0"/>
    <w:rsid w:val="004711AD"/>
    <w:rsid w:val="004744AC"/>
    <w:rsid w:val="00474660"/>
    <w:rsid w:val="00476B49"/>
    <w:rsid w:val="00477389"/>
    <w:rsid w:val="004773D2"/>
    <w:rsid w:val="004777F5"/>
    <w:rsid w:val="00477B09"/>
    <w:rsid w:val="00481D05"/>
    <w:rsid w:val="0048215C"/>
    <w:rsid w:val="00482465"/>
    <w:rsid w:val="00482795"/>
    <w:rsid w:val="00482A07"/>
    <w:rsid w:val="004845EC"/>
    <w:rsid w:val="00485560"/>
    <w:rsid w:val="0048595F"/>
    <w:rsid w:val="00486223"/>
    <w:rsid w:val="004862C8"/>
    <w:rsid w:val="00490B20"/>
    <w:rsid w:val="00490DB9"/>
    <w:rsid w:val="004919C5"/>
    <w:rsid w:val="00492CE0"/>
    <w:rsid w:val="0049476B"/>
    <w:rsid w:val="0049535C"/>
    <w:rsid w:val="00495D3C"/>
    <w:rsid w:val="004960A9"/>
    <w:rsid w:val="00496B98"/>
    <w:rsid w:val="004A0F28"/>
    <w:rsid w:val="004A1507"/>
    <w:rsid w:val="004A1905"/>
    <w:rsid w:val="004A20DE"/>
    <w:rsid w:val="004A34E1"/>
    <w:rsid w:val="004A3991"/>
    <w:rsid w:val="004A4AEF"/>
    <w:rsid w:val="004A59AC"/>
    <w:rsid w:val="004A59DE"/>
    <w:rsid w:val="004A5ADB"/>
    <w:rsid w:val="004A5CDD"/>
    <w:rsid w:val="004A70E0"/>
    <w:rsid w:val="004B02AE"/>
    <w:rsid w:val="004B05D8"/>
    <w:rsid w:val="004B0605"/>
    <w:rsid w:val="004B0DF6"/>
    <w:rsid w:val="004B152D"/>
    <w:rsid w:val="004B1C1F"/>
    <w:rsid w:val="004B1FC3"/>
    <w:rsid w:val="004B2660"/>
    <w:rsid w:val="004B26DE"/>
    <w:rsid w:val="004B2DE4"/>
    <w:rsid w:val="004B3695"/>
    <w:rsid w:val="004B4ADF"/>
    <w:rsid w:val="004B5073"/>
    <w:rsid w:val="004B578D"/>
    <w:rsid w:val="004B65AE"/>
    <w:rsid w:val="004B7668"/>
    <w:rsid w:val="004B7BCD"/>
    <w:rsid w:val="004C0E9A"/>
    <w:rsid w:val="004C10A8"/>
    <w:rsid w:val="004C1588"/>
    <w:rsid w:val="004C1AA1"/>
    <w:rsid w:val="004C1F89"/>
    <w:rsid w:val="004C2506"/>
    <w:rsid w:val="004C27CA"/>
    <w:rsid w:val="004C2B89"/>
    <w:rsid w:val="004C4661"/>
    <w:rsid w:val="004C53B3"/>
    <w:rsid w:val="004C58D0"/>
    <w:rsid w:val="004D02B3"/>
    <w:rsid w:val="004D05F8"/>
    <w:rsid w:val="004D0A90"/>
    <w:rsid w:val="004D0AC2"/>
    <w:rsid w:val="004D13D0"/>
    <w:rsid w:val="004D2878"/>
    <w:rsid w:val="004D298C"/>
    <w:rsid w:val="004D2C5C"/>
    <w:rsid w:val="004D2C82"/>
    <w:rsid w:val="004D2EDC"/>
    <w:rsid w:val="004D43F0"/>
    <w:rsid w:val="004D54F5"/>
    <w:rsid w:val="004D5D66"/>
    <w:rsid w:val="004D6901"/>
    <w:rsid w:val="004D6BEA"/>
    <w:rsid w:val="004D7F05"/>
    <w:rsid w:val="004E0090"/>
    <w:rsid w:val="004E01C3"/>
    <w:rsid w:val="004E033F"/>
    <w:rsid w:val="004E1E33"/>
    <w:rsid w:val="004E1F6A"/>
    <w:rsid w:val="004E3853"/>
    <w:rsid w:val="004E4055"/>
    <w:rsid w:val="004E4DCD"/>
    <w:rsid w:val="004E50F2"/>
    <w:rsid w:val="004E516C"/>
    <w:rsid w:val="004E5254"/>
    <w:rsid w:val="004E6158"/>
    <w:rsid w:val="004E655E"/>
    <w:rsid w:val="004E6D93"/>
    <w:rsid w:val="004E73AB"/>
    <w:rsid w:val="004F0050"/>
    <w:rsid w:val="004F0255"/>
    <w:rsid w:val="004F0DAC"/>
    <w:rsid w:val="004F2FBE"/>
    <w:rsid w:val="004F3013"/>
    <w:rsid w:val="004F469A"/>
    <w:rsid w:val="004F5941"/>
    <w:rsid w:val="004F6C82"/>
    <w:rsid w:val="004F71D6"/>
    <w:rsid w:val="0050097C"/>
    <w:rsid w:val="00500AEA"/>
    <w:rsid w:val="0050270B"/>
    <w:rsid w:val="0050297B"/>
    <w:rsid w:val="00504C34"/>
    <w:rsid w:val="00504EAF"/>
    <w:rsid w:val="00505C48"/>
    <w:rsid w:val="00505E9D"/>
    <w:rsid w:val="005063ED"/>
    <w:rsid w:val="00506BAC"/>
    <w:rsid w:val="00507C39"/>
    <w:rsid w:val="00507D63"/>
    <w:rsid w:val="00511940"/>
    <w:rsid w:val="00511D5B"/>
    <w:rsid w:val="00511ED5"/>
    <w:rsid w:val="0051267A"/>
    <w:rsid w:val="00512FD3"/>
    <w:rsid w:val="00514502"/>
    <w:rsid w:val="0051567C"/>
    <w:rsid w:val="00517092"/>
    <w:rsid w:val="005207DC"/>
    <w:rsid w:val="00520AFF"/>
    <w:rsid w:val="005230C7"/>
    <w:rsid w:val="00523500"/>
    <w:rsid w:val="0052363A"/>
    <w:rsid w:val="005238F8"/>
    <w:rsid w:val="00524488"/>
    <w:rsid w:val="00524858"/>
    <w:rsid w:val="0052632A"/>
    <w:rsid w:val="00526A5A"/>
    <w:rsid w:val="005270F3"/>
    <w:rsid w:val="005279B2"/>
    <w:rsid w:val="0053106E"/>
    <w:rsid w:val="005312DB"/>
    <w:rsid w:val="00531E90"/>
    <w:rsid w:val="0053339E"/>
    <w:rsid w:val="005340C9"/>
    <w:rsid w:val="00534B3D"/>
    <w:rsid w:val="00534CE3"/>
    <w:rsid w:val="00534E97"/>
    <w:rsid w:val="0053507F"/>
    <w:rsid w:val="005354F4"/>
    <w:rsid w:val="00536A11"/>
    <w:rsid w:val="00537720"/>
    <w:rsid w:val="00537871"/>
    <w:rsid w:val="0054052C"/>
    <w:rsid w:val="00540CFF"/>
    <w:rsid w:val="005418DD"/>
    <w:rsid w:val="0054237B"/>
    <w:rsid w:val="005439B4"/>
    <w:rsid w:val="00543EC0"/>
    <w:rsid w:val="005442FB"/>
    <w:rsid w:val="005445E1"/>
    <w:rsid w:val="0054743E"/>
    <w:rsid w:val="00547510"/>
    <w:rsid w:val="00547589"/>
    <w:rsid w:val="00551E39"/>
    <w:rsid w:val="00551FA1"/>
    <w:rsid w:val="00554016"/>
    <w:rsid w:val="0055423F"/>
    <w:rsid w:val="00555807"/>
    <w:rsid w:val="00556219"/>
    <w:rsid w:val="005576BA"/>
    <w:rsid w:val="0056171F"/>
    <w:rsid w:val="00561B6B"/>
    <w:rsid w:val="005625FC"/>
    <w:rsid w:val="0056282B"/>
    <w:rsid w:val="00562D12"/>
    <w:rsid w:val="005630B3"/>
    <w:rsid w:val="005642F5"/>
    <w:rsid w:val="00564575"/>
    <w:rsid w:val="00565628"/>
    <w:rsid w:val="0056568E"/>
    <w:rsid w:val="00566AE5"/>
    <w:rsid w:val="00567189"/>
    <w:rsid w:val="00567778"/>
    <w:rsid w:val="00567AAC"/>
    <w:rsid w:val="00567AFE"/>
    <w:rsid w:val="0057086A"/>
    <w:rsid w:val="00570E59"/>
    <w:rsid w:val="00570F09"/>
    <w:rsid w:val="005718A6"/>
    <w:rsid w:val="00572358"/>
    <w:rsid w:val="005726C9"/>
    <w:rsid w:val="00574124"/>
    <w:rsid w:val="0057412E"/>
    <w:rsid w:val="005741FF"/>
    <w:rsid w:val="0057482C"/>
    <w:rsid w:val="00574863"/>
    <w:rsid w:val="00575D92"/>
    <w:rsid w:val="00577079"/>
    <w:rsid w:val="00577309"/>
    <w:rsid w:val="00577980"/>
    <w:rsid w:val="00577F82"/>
    <w:rsid w:val="00580418"/>
    <w:rsid w:val="005804B0"/>
    <w:rsid w:val="0058051C"/>
    <w:rsid w:val="00581A9F"/>
    <w:rsid w:val="00581B51"/>
    <w:rsid w:val="00582A30"/>
    <w:rsid w:val="00582F0D"/>
    <w:rsid w:val="00583252"/>
    <w:rsid w:val="0058358B"/>
    <w:rsid w:val="00583C5C"/>
    <w:rsid w:val="0058448A"/>
    <w:rsid w:val="00584FEA"/>
    <w:rsid w:val="0058536C"/>
    <w:rsid w:val="00585FBD"/>
    <w:rsid w:val="005861ED"/>
    <w:rsid w:val="00586A69"/>
    <w:rsid w:val="00587B70"/>
    <w:rsid w:val="00590396"/>
    <w:rsid w:val="00590485"/>
    <w:rsid w:val="005905C7"/>
    <w:rsid w:val="005907FF"/>
    <w:rsid w:val="00590A87"/>
    <w:rsid w:val="00593855"/>
    <w:rsid w:val="00593EE1"/>
    <w:rsid w:val="00594376"/>
    <w:rsid w:val="00594ADD"/>
    <w:rsid w:val="00597000"/>
    <w:rsid w:val="00597D38"/>
    <w:rsid w:val="005A096D"/>
    <w:rsid w:val="005A13D0"/>
    <w:rsid w:val="005A23FF"/>
    <w:rsid w:val="005A2548"/>
    <w:rsid w:val="005A2CDF"/>
    <w:rsid w:val="005A4BB2"/>
    <w:rsid w:val="005A4FFE"/>
    <w:rsid w:val="005A52BB"/>
    <w:rsid w:val="005A6149"/>
    <w:rsid w:val="005A7182"/>
    <w:rsid w:val="005A74F7"/>
    <w:rsid w:val="005A7AB4"/>
    <w:rsid w:val="005A7ABE"/>
    <w:rsid w:val="005B06EF"/>
    <w:rsid w:val="005B09BE"/>
    <w:rsid w:val="005B0E6D"/>
    <w:rsid w:val="005B4758"/>
    <w:rsid w:val="005B5A47"/>
    <w:rsid w:val="005B63E9"/>
    <w:rsid w:val="005B640F"/>
    <w:rsid w:val="005B6649"/>
    <w:rsid w:val="005B755E"/>
    <w:rsid w:val="005C000D"/>
    <w:rsid w:val="005C1A67"/>
    <w:rsid w:val="005C26EB"/>
    <w:rsid w:val="005C2B7D"/>
    <w:rsid w:val="005C2BAA"/>
    <w:rsid w:val="005C2D66"/>
    <w:rsid w:val="005C31FD"/>
    <w:rsid w:val="005C390D"/>
    <w:rsid w:val="005C5735"/>
    <w:rsid w:val="005C6A8B"/>
    <w:rsid w:val="005D00E5"/>
    <w:rsid w:val="005D0C4A"/>
    <w:rsid w:val="005D0C83"/>
    <w:rsid w:val="005D1363"/>
    <w:rsid w:val="005D25D8"/>
    <w:rsid w:val="005D26CE"/>
    <w:rsid w:val="005D2B56"/>
    <w:rsid w:val="005D3282"/>
    <w:rsid w:val="005D36DD"/>
    <w:rsid w:val="005D44E7"/>
    <w:rsid w:val="005D4CEC"/>
    <w:rsid w:val="005D6752"/>
    <w:rsid w:val="005D675E"/>
    <w:rsid w:val="005D7CC6"/>
    <w:rsid w:val="005D7E74"/>
    <w:rsid w:val="005E0156"/>
    <w:rsid w:val="005E04D4"/>
    <w:rsid w:val="005E0A95"/>
    <w:rsid w:val="005E1608"/>
    <w:rsid w:val="005E1F2A"/>
    <w:rsid w:val="005E24C7"/>
    <w:rsid w:val="005E328D"/>
    <w:rsid w:val="005E32C6"/>
    <w:rsid w:val="005E3755"/>
    <w:rsid w:val="005E43AD"/>
    <w:rsid w:val="005E48F9"/>
    <w:rsid w:val="005E4DBC"/>
    <w:rsid w:val="005E5348"/>
    <w:rsid w:val="005E56CB"/>
    <w:rsid w:val="005E71A6"/>
    <w:rsid w:val="005E77F5"/>
    <w:rsid w:val="005E79EC"/>
    <w:rsid w:val="005F0760"/>
    <w:rsid w:val="005F0AC7"/>
    <w:rsid w:val="005F0BFF"/>
    <w:rsid w:val="005F1BD7"/>
    <w:rsid w:val="005F21A3"/>
    <w:rsid w:val="005F254C"/>
    <w:rsid w:val="005F2C98"/>
    <w:rsid w:val="005F32A8"/>
    <w:rsid w:val="005F409F"/>
    <w:rsid w:val="005F4A86"/>
    <w:rsid w:val="005F4BDC"/>
    <w:rsid w:val="005F4DF7"/>
    <w:rsid w:val="005F4EAD"/>
    <w:rsid w:val="005F5058"/>
    <w:rsid w:val="005F5308"/>
    <w:rsid w:val="005F53E1"/>
    <w:rsid w:val="005F5AE6"/>
    <w:rsid w:val="005F5DDD"/>
    <w:rsid w:val="005F7A22"/>
    <w:rsid w:val="0060014C"/>
    <w:rsid w:val="006011B1"/>
    <w:rsid w:val="00601DD7"/>
    <w:rsid w:val="00602831"/>
    <w:rsid w:val="00602AE4"/>
    <w:rsid w:val="00602B2C"/>
    <w:rsid w:val="006032C4"/>
    <w:rsid w:val="006039AF"/>
    <w:rsid w:val="00603B7F"/>
    <w:rsid w:val="00603C95"/>
    <w:rsid w:val="006046FA"/>
    <w:rsid w:val="006054FE"/>
    <w:rsid w:val="00605DBD"/>
    <w:rsid w:val="0060612A"/>
    <w:rsid w:val="00607C2C"/>
    <w:rsid w:val="006109BC"/>
    <w:rsid w:val="0061146A"/>
    <w:rsid w:val="00611771"/>
    <w:rsid w:val="00611F31"/>
    <w:rsid w:val="006124A9"/>
    <w:rsid w:val="00613420"/>
    <w:rsid w:val="00613C83"/>
    <w:rsid w:val="0061435A"/>
    <w:rsid w:val="0061453A"/>
    <w:rsid w:val="0061457E"/>
    <w:rsid w:val="00614C07"/>
    <w:rsid w:val="00616636"/>
    <w:rsid w:val="0061686E"/>
    <w:rsid w:val="00617071"/>
    <w:rsid w:val="0062063E"/>
    <w:rsid w:val="006209E1"/>
    <w:rsid w:val="00620E8E"/>
    <w:rsid w:val="006224E6"/>
    <w:rsid w:val="00622A87"/>
    <w:rsid w:val="00622EE0"/>
    <w:rsid w:val="00624E9B"/>
    <w:rsid w:val="00625783"/>
    <w:rsid w:val="00626150"/>
    <w:rsid w:val="00626F39"/>
    <w:rsid w:val="0063055E"/>
    <w:rsid w:val="00630C24"/>
    <w:rsid w:val="00630EF0"/>
    <w:rsid w:val="00631CA4"/>
    <w:rsid w:val="0063217B"/>
    <w:rsid w:val="00632CE6"/>
    <w:rsid w:val="00632E30"/>
    <w:rsid w:val="00633181"/>
    <w:rsid w:val="00633DBC"/>
    <w:rsid w:val="00634ED3"/>
    <w:rsid w:val="006358C8"/>
    <w:rsid w:val="00635FA4"/>
    <w:rsid w:val="006376EC"/>
    <w:rsid w:val="00637707"/>
    <w:rsid w:val="00640045"/>
    <w:rsid w:val="0064148D"/>
    <w:rsid w:val="006417F3"/>
    <w:rsid w:val="00641A4C"/>
    <w:rsid w:val="00642270"/>
    <w:rsid w:val="00642909"/>
    <w:rsid w:val="00642C3F"/>
    <w:rsid w:val="00642D29"/>
    <w:rsid w:val="00642F4D"/>
    <w:rsid w:val="00643CD2"/>
    <w:rsid w:val="00643FA0"/>
    <w:rsid w:val="0064419B"/>
    <w:rsid w:val="006442D4"/>
    <w:rsid w:val="00644509"/>
    <w:rsid w:val="00644D67"/>
    <w:rsid w:val="00645CB1"/>
    <w:rsid w:val="00645DFB"/>
    <w:rsid w:val="006461EF"/>
    <w:rsid w:val="00650422"/>
    <w:rsid w:val="00650727"/>
    <w:rsid w:val="00650A17"/>
    <w:rsid w:val="00651937"/>
    <w:rsid w:val="006520C7"/>
    <w:rsid w:val="00653ADB"/>
    <w:rsid w:val="00656A49"/>
    <w:rsid w:val="00656CFF"/>
    <w:rsid w:val="00657F2D"/>
    <w:rsid w:val="00660D81"/>
    <w:rsid w:val="00661F8A"/>
    <w:rsid w:val="00663095"/>
    <w:rsid w:val="00663FE2"/>
    <w:rsid w:val="00664A51"/>
    <w:rsid w:val="0066565E"/>
    <w:rsid w:val="00665701"/>
    <w:rsid w:val="00665725"/>
    <w:rsid w:val="00667710"/>
    <w:rsid w:val="00670C97"/>
    <w:rsid w:val="006713A9"/>
    <w:rsid w:val="006724AA"/>
    <w:rsid w:val="006726FF"/>
    <w:rsid w:val="00673835"/>
    <w:rsid w:val="00673D4A"/>
    <w:rsid w:val="006742EF"/>
    <w:rsid w:val="00674B97"/>
    <w:rsid w:val="00676705"/>
    <w:rsid w:val="006772D7"/>
    <w:rsid w:val="0068040B"/>
    <w:rsid w:val="00681532"/>
    <w:rsid w:val="006817A1"/>
    <w:rsid w:val="00681B37"/>
    <w:rsid w:val="006839FA"/>
    <w:rsid w:val="00684409"/>
    <w:rsid w:val="0068481A"/>
    <w:rsid w:val="00684964"/>
    <w:rsid w:val="00686BB5"/>
    <w:rsid w:val="00687DC0"/>
    <w:rsid w:val="00687F63"/>
    <w:rsid w:val="0069029B"/>
    <w:rsid w:val="00691F74"/>
    <w:rsid w:val="00691FE7"/>
    <w:rsid w:val="00693984"/>
    <w:rsid w:val="00694710"/>
    <w:rsid w:val="00695A2C"/>
    <w:rsid w:val="00696694"/>
    <w:rsid w:val="00696B9D"/>
    <w:rsid w:val="0069766C"/>
    <w:rsid w:val="00697D63"/>
    <w:rsid w:val="006A0735"/>
    <w:rsid w:val="006A0CEE"/>
    <w:rsid w:val="006A10B0"/>
    <w:rsid w:val="006A1D04"/>
    <w:rsid w:val="006A1E09"/>
    <w:rsid w:val="006A2C99"/>
    <w:rsid w:val="006A3284"/>
    <w:rsid w:val="006A399A"/>
    <w:rsid w:val="006A3CF5"/>
    <w:rsid w:val="006A4D43"/>
    <w:rsid w:val="006A6198"/>
    <w:rsid w:val="006A7255"/>
    <w:rsid w:val="006A7322"/>
    <w:rsid w:val="006B0359"/>
    <w:rsid w:val="006B0364"/>
    <w:rsid w:val="006B0588"/>
    <w:rsid w:val="006B0F1E"/>
    <w:rsid w:val="006B176B"/>
    <w:rsid w:val="006B1A20"/>
    <w:rsid w:val="006B2EDB"/>
    <w:rsid w:val="006B34F8"/>
    <w:rsid w:val="006B387F"/>
    <w:rsid w:val="006B55C7"/>
    <w:rsid w:val="006B5D8D"/>
    <w:rsid w:val="006B63AE"/>
    <w:rsid w:val="006B78D1"/>
    <w:rsid w:val="006B7C07"/>
    <w:rsid w:val="006C094D"/>
    <w:rsid w:val="006C288A"/>
    <w:rsid w:val="006C2BF5"/>
    <w:rsid w:val="006C3B4A"/>
    <w:rsid w:val="006C45DF"/>
    <w:rsid w:val="006C48BC"/>
    <w:rsid w:val="006C51F5"/>
    <w:rsid w:val="006C545F"/>
    <w:rsid w:val="006C5CE5"/>
    <w:rsid w:val="006C6124"/>
    <w:rsid w:val="006C6150"/>
    <w:rsid w:val="006C687D"/>
    <w:rsid w:val="006C6C0B"/>
    <w:rsid w:val="006D0A06"/>
    <w:rsid w:val="006D16F1"/>
    <w:rsid w:val="006D30BC"/>
    <w:rsid w:val="006D3D86"/>
    <w:rsid w:val="006D5574"/>
    <w:rsid w:val="006D6BAE"/>
    <w:rsid w:val="006D6EDD"/>
    <w:rsid w:val="006D6F23"/>
    <w:rsid w:val="006E0543"/>
    <w:rsid w:val="006E1125"/>
    <w:rsid w:val="006E1655"/>
    <w:rsid w:val="006E28B3"/>
    <w:rsid w:val="006E2900"/>
    <w:rsid w:val="006E41A4"/>
    <w:rsid w:val="006E4454"/>
    <w:rsid w:val="006E447D"/>
    <w:rsid w:val="006E6308"/>
    <w:rsid w:val="006E6C94"/>
    <w:rsid w:val="006E7142"/>
    <w:rsid w:val="006E7577"/>
    <w:rsid w:val="006E78D7"/>
    <w:rsid w:val="006E7CC2"/>
    <w:rsid w:val="006F0C85"/>
    <w:rsid w:val="006F10F1"/>
    <w:rsid w:val="006F5D5B"/>
    <w:rsid w:val="006F686F"/>
    <w:rsid w:val="006F6D7F"/>
    <w:rsid w:val="006F7B47"/>
    <w:rsid w:val="00700003"/>
    <w:rsid w:val="0070022D"/>
    <w:rsid w:val="00701152"/>
    <w:rsid w:val="00701B8C"/>
    <w:rsid w:val="00701E2F"/>
    <w:rsid w:val="007026E1"/>
    <w:rsid w:val="00703500"/>
    <w:rsid w:val="00703792"/>
    <w:rsid w:val="00705BAD"/>
    <w:rsid w:val="00706589"/>
    <w:rsid w:val="00707761"/>
    <w:rsid w:val="00707A6E"/>
    <w:rsid w:val="00707FCF"/>
    <w:rsid w:val="00711683"/>
    <w:rsid w:val="0071203A"/>
    <w:rsid w:val="00712182"/>
    <w:rsid w:val="00712748"/>
    <w:rsid w:val="00712B88"/>
    <w:rsid w:val="007138E6"/>
    <w:rsid w:val="00715D93"/>
    <w:rsid w:val="0071604D"/>
    <w:rsid w:val="007167A5"/>
    <w:rsid w:val="0072049E"/>
    <w:rsid w:val="00720654"/>
    <w:rsid w:val="00721035"/>
    <w:rsid w:val="00723BC6"/>
    <w:rsid w:val="00723F8F"/>
    <w:rsid w:val="0072431A"/>
    <w:rsid w:val="007244E6"/>
    <w:rsid w:val="00724A46"/>
    <w:rsid w:val="00724D72"/>
    <w:rsid w:val="007275F2"/>
    <w:rsid w:val="00727AAA"/>
    <w:rsid w:val="00730F1E"/>
    <w:rsid w:val="007314CB"/>
    <w:rsid w:val="00731798"/>
    <w:rsid w:val="00731F86"/>
    <w:rsid w:val="00732096"/>
    <w:rsid w:val="0073217C"/>
    <w:rsid w:val="0073227C"/>
    <w:rsid w:val="00732978"/>
    <w:rsid w:val="00732C85"/>
    <w:rsid w:val="00733819"/>
    <w:rsid w:val="0073468B"/>
    <w:rsid w:val="007364EE"/>
    <w:rsid w:val="007366A5"/>
    <w:rsid w:val="0073709A"/>
    <w:rsid w:val="007370B4"/>
    <w:rsid w:val="00741D19"/>
    <w:rsid w:val="00741EEC"/>
    <w:rsid w:val="007420CD"/>
    <w:rsid w:val="00742C10"/>
    <w:rsid w:val="00742D34"/>
    <w:rsid w:val="0074312E"/>
    <w:rsid w:val="007448F9"/>
    <w:rsid w:val="00744FB1"/>
    <w:rsid w:val="00745559"/>
    <w:rsid w:val="00745643"/>
    <w:rsid w:val="00745F58"/>
    <w:rsid w:val="007461BB"/>
    <w:rsid w:val="007465DF"/>
    <w:rsid w:val="0074665E"/>
    <w:rsid w:val="007473FA"/>
    <w:rsid w:val="00747809"/>
    <w:rsid w:val="00747CFE"/>
    <w:rsid w:val="0075079B"/>
    <w:rsid w:val="0075111D"/>
    <w:rsid w:val="00752543"/>
    <w:rsid w:val="0075423A"/>
    <w:rsid w:val="0075440A"/>
    <w:rsid w:val="00754AF3"/>
    <w:rsid w:val="007565D4"/>
    <w:rsid w:val="00756ADF"/>
    <w:rsid w:val="00756CFD"/>
    <w:rsid w:val="007571B4"/>
    <w:rsid w:val="0076063F"/>
    <w:rsid w:val="007606D5"/>
    <w:rsid w:val="00761548"/>
    <w:rsid w:val="00761E49"/>
    <w:rsid w:val="007626F0"/>
    <w:rsid w:val="00762D64"/>
    <w:rsid w:val="00763163"/>
    <w:rsid w:val="00763A91"/>
    <w:rsid w:val="00763C01"/>
    <w:rsid w:val="00763D6F"/>
    <w:rsid w:val="00764FA9"/>
    <w:rsid w:val="0076529E"/>
    <w:rsid w:val="00765C24"/>
    <w:rsid w:val="0076748E"/>
    <w:rsid w:val="00767569"/>
    <w:rsid w:val="007677E9"/>
    <w:rsid w:val="00767D34"/>
    <w:rsid w:val="0077037C"/>
    <w:rsid w:val="00771864"/>
    <w:rsid w:val="00771E08"/>
    <w:rsid w:val="007720F3"/>
    <w:rsid w:val="00772D95"/>
    <w:rsid w:val="007744D0"/>
    <w:rsid w:val="0077572E"/>
    <w:rsid w:val="00775BBA"/>
    <w:rsid w:val="007771C1"/>
    <w:rsid w:val="007771C7"/>
    <w:rsid w:val="007804BC"/>
    <w:rsid w:val="007808C9"/>
    <w:rsid w:val="00783984"/>
    <w:rsid w:val="00783C90"/>
    <w:rsid w:val="00785534"/>
    <w:rsid w:val="0078689B"/>
    <w:rsid w:val="0078772E"/>
    <w:rsid w:val="00790C99"/>
    <w:rsid w:val="00791DA9"/>
    <w:rsid w:val="00792543"/>
    <w:rsid w:val="00792C84"/>
    <w:rsid w:val="00792E53"/>
    <w:rsid w:val="00793CE5"/>
    <w:rsid w:val="00793E07"/>
    <w:rsid w:val="00795159"/>
    <w:rsid w:val="00795528"/>
    <w:rsid w:val="007957F2"/>
    <w:rsid w:val="00795890"/>
    <w:rsid w:val="007959F1"/>
    <w:rsid w:val="00796AE3"/>
    <w:rsid w:val="00797BE6"/>
    <w:rsid w:val="00797C12"/>
    <w:rsid w:val="007A0950"/>
    <w:rsid w:val="007A1AD6"/>
    <w:rsid w:val="007A208F"/>
    <w:rsid w:val="007A3712"/>
    <w:rsid w:val="007A3934"/>
    <w:rsid w:val="007A4C34"/>
    <w:rsid w:val="007A58AA"/>
    <w:rsid w:val="007A5B57"/>
    <w:rsid w:val="007A5C2F"/>
    <w:rsid w:val="007A6660"/>
    <w:rsid w:val="007A783D"/>
    <w:rsid w:val="007B00FB"/>
    <w:rsid w:val="007B01D8"/>
    <w:rsid w:val="007B10FB"/>
    <w:rsid w:val="007B375B"/>
    <w:rsid w:val="007B58FC"/>
    <w:rsid w:val="007B6D90"/>
    <w:rsid w:val="007B77BE"/>
    <w:rsid w:val="007B7942"/>
    <w:rsid w:val="007C0461"/>
    <w:rsid w:val="007C12D0"/>
    <w:rsid w:val="007C156A"/>
    <w:rsid w:val="007C22CD"/>
    <w:rsid w:val="007C4D1B"/>
    <w:rsid w:val="007C6F6E"/>
    <w:rsid w:val="007D14F5"/>
    <w:rsid w:val="007D17EB"/>
    <w:rsid w:val="007D2222"/>
    <w:rsid w:val="007D2752"/>
    <w:rsid w:val="007D2D57"/>
    <w:rsid w:val="007D3A84"/>
    <w:rsid w:val="007D49EA"/>
    <w:rsid w:val="007D5212"/>
    <w:rsid w:val="007D525A"/>
    <w:rsid w:val="007D669D"/>
    <w:rsid w:val="007D76BA"/>
    <w:rsid w:val="007E03F0"/>
    <w:rsid w:val="007E04CC"/>
    <w:rsid w:val="007E0559"/>
    <w:rsid w:val="007E0999"/>
    <w:rsid w:val="007E0D5C"/>
    <w:rsid w:val="007E12A7"/>
    <w:rsid w:val="007E1AF6"/>
    <w:rsid w:val="007E1B9E"/>
    <w:rsid w:val="007E1D63"/>
    <w:rsid w:val="007E1F34"/>
    <w:rsid w:val="007E26DB"/>
    <w:rsid w:val="007E38BE"/>
    <w:rsid w:val="007E40BA"/>
    <w:rsid w:val="007E4528"/>
    <w:rsid w:val="007E6375"/>
    <w:rsid w:val="007E704F"/>
    <w:rsid w:val="007E734A"/>
    <w:rsid w:val="007F0599"/>
    <w:rsid w:val="007F06F6"/>
    <w:rsid w:val="007F0F2D"/>
    <w:rsid w:val="007F104E"/>
    <w:rsid w:val="007F1287"/>
    <w:rsid w:val="007F139A"/>
    <w:rsid w:val="007F2A11"/>
    <w:rsid w:val="007F2BF0"/>
    <w:rsid w:val="007F3F9B"/>
    <w:rsid w:val="007F4178"/>
    <w:rsid w:val="007F5BE8"/>
    <w:rsid w:val="007F6AFD"/>
    <w:rsid w:val="007F76B4"/>
    <w:rsid w:val="007F7909"/>
    <w:rsid w:val="007F7EDD"/>
    <w:rsid w:val="008010E7"/>
    <w:rsid w:val="00801163"/>
    <w:rsid w:val="0080123E"/>
    <w:rsid w:val="00801B63"/>
    <w:rsid w:val="008026B1"/>
    <w:rsid w:val="00803B69"/>
    <w:rsid w:val="00805098"/>
    <w:rsid w:val="00805342"/>
    <w:rsid w:val="0080542F"/>
    <w:rsid w:val="00806BB1"/>
    <w:rsid w:val="0081082F"/>
    <w:rsid w:val="00810BDB"/>
    <w:rsid w:val="008114ED"/>
    <w:rsid w:val="00812F0D"/>
    <w:rsid w:val="008132B1"/>
    <w:rsid w:val="00813639"/>
    <w:rsid w:val="008139AF"/>
    <w:rsid w:val="008152D4"/>
    <w:rsid w:val="008155A3"/>
    <w:rsid w:val="00815862"/>
    <w:rsid w:val="00815C84"/>
    <w:rsid w:val="00815E57"/>
    <w:rsid w:val="008160D0"/>
    <w:rsid w:val="0081664C"/>
    <w:rsid w:val="00822CEE"/>
    <w:rsid w:val="00822D3E"/>
    <w:rsid w:val="00822EC7"/>
    <w:rsid w:val="00823194"/>
    <w:rsid w:val="0082333A"/>
    <w:rsid w:val="0082442C"/>
    <w:rsid w:val="00825DBE"/>
    <w:rsid w:val="008265CA"/>
    <w:rsid w:val="0082696C"/>
    <w:rsid w:val="00827240"/>
    <w:rsid w:val="008275E0"/>
    <w:rsid w:val="00827ABC"/>
    <w:rsid w:val="00827D64"/>
    <w:rsid w:val="00830359"/>
    <w:rsid w:val="008306E3"/>
    <w:rsid w:val="00830D27"/>
    <w:rsid w:val="00831522"/>
    <w:rsid w:val="008333C9"/>
    <w:rsid w:val="00835200"/>
    <w:rsid w:val="0083601E"/>
    <w:rsid w:val="00837151"/>
    <w:rsid w:val="00837856"/>
    <w:rsid w:val="00840AA9"/>
    <w:rsid w:val="00841E22"/>
    <w:rsid w:val="00842166"/>
    <w:rsid w:val="0084225B"/>
    <w:rsid w:val="00842703"/>
    <w:rsid w:val="00842908"/>
    <w:rsid w:val="008429AD"/>
    <w:rsid w:val="00843805"/>
    <w:rsid w:val="00843905"/>
    <w:rsid w:val="00843BEC"/>
    <w:rsid w:val="00846125"/>
    <w:rsid w:val="0084625C"/>
    <w:rsid w:val="00846360"/>
    <w:rsid w:val="00846AF3"/>
    <w:rsid w:val="00846AF6"/>
    <w:rsid w:val="00846FDD"/>
    <w:rsid w:val="00847066"/>
    <w:rsid w:val="00847820"/>
    <w:rsid w:val="00850543"/>
    <w:rsid w:val="008505FC"/>
    <w:rsid w:val="00850E3F"/>
    <w:rsid w:val="00852D3C"/>
    <w:rsid w:val="00852EDC"/>
    <w:rsid w:val="0085304B"/>
    <w:rsid w:val="00854BDB"/>
    <w:rsid w:val="008550DF"/>
    <w:rsid w:val="00856316"/>
    <w:rsid w:val="0085646D"/>
    <w:rsid w:val="0085683B"/>
    <w:rsid w:val="00856B58"/>
    <w:rsid w:val="00857CC2"/>
    <w:rsid w:val="008600D7"/>
    <w:rsid w:val="00860467"/>
    <w:rsid w:val="00860BB6"/>
    <w:rsid w:val="00861194"/>
    <w:rsid w:val="00861562"/>
    <w:rsid w:val="008617FD"/>
    <w:rsid w:val="00861897"/>
    <w:rsid w:val="00862B48"/>
    <w:rsid w:val="0086338E"/>
    <w:rsid w:val="00863761"/>
    <w:rsid w:val="00865009"/>
    <w:rsid w:val="00865B61"/>
    <w:rsid w:val="00865C9A"/>
    <w:rsid w:val="00866004"/>
    <w:rsid w:val="00867E06"/>
    <w:rsid w:val="00870277"/>
    <w:rsid w:val="00872149"/>
    <w:rsid w:val="00873865"/>
    <w:rsid w:val="00873F85"/>
    <w:rsid w:val="00874947"/>
    <w:rsid w:val="00874949"/>
    <w:rsid w:val="00875B7B"/>
    <w:rsid w:val="0087650C"/>
    <w:rsid w:val="008769F6"/>
    <w:rsid w:val="00880581"/>
    <w:rsid w:val="00880EB1"/>
    <w:rsid w:val="00881ED4"/>
    <w:rsid w:val="00882209"/>
    <w:rsid w:val="0088377E"/>
    <w:rsid w:val="00883A79"/>
    <w:rsid w:val="0088414F"/>
    <w:rsid w:val="00884B79"/>
    <w:rsid w:val="00884DEA"/>
    <w:rsid w:val="008853FA"/>
    <w:rsid w:val="00886436"/>
    <w:rsid w:val="00887406"/>
    <w:rsid w:val="008874EF"/>
    <w:rsid w:val="008878FD"/>
    <w:rsid w:val="00887CB1"/>
    <w:rsid w:val="00887E3D"/>
    <w:rsid w:val="008901C5"/>
    <w:rsid w:val="00890D6D"/>
    <w:rsid w:val="008912E8"/>
    <w:rsid w:val="008967AB"/>
    <w:rsid w:val="00897854"/>
    <w:rsid w:val="0089786D"/>
    <w:rsid w:val="008A0143"/>
    <w:rsid w:val="008A0668"/>
    <w:rsid w:val="008A1460"/>
    <w:rsid w:val="008A182A"/>
    <w:rsid w:val="008A1B25"/>
    <w:rsid w:val="008A2218"/>
    <w:rsid w:val="008A3AEE"/>
    <w:rsid w:val="008A4715"/>
    <w:rsid w:val="008A4878"/>
    <w:rsid w:val="008A4CD7"/>
    <w:rsid w:val="008A4D4C"/>
    <w:rsid w:val="008A6A24"/>
    <w:rsid w:val="008A6AE3"/>
    <w:rsid w:val="008A6B07"/>
    <w:rsid w:val="008B0148"/>
    <w:rsid w:val="008B028E"/>
    <w:rsid w:val="008B102E"/>
    <w:rsid w:val="008B25BA"/>
    <w:rsid w:val="008B2921"/>
    <w:rsid w:val="008B32FC"/>
    <w:rsid w:val="008B3F01"/>
    <w:rsid w:val="008B4C90"/>
    <w:rsid w:val="008B4C93"/>
    <w:rsid w:val="008B524E"/>
    <w:rsid w:val="008B5672"/>
    <w:rsid w:val="008B5ACB"/>
    <w:rsid w:val="008B5B65"/>
    <w:rsid w:val="008B5C42"/>
    <w:rsid w:val="008B648A"/>
    <w:rsid w:val="008B6843"/>
    <w:rsid w:val="008B6A1F"/>
    <w:rsid w:val="008B6BD6"/>
    <w:rsid w:val="008C0080"/>
    <w:rsid w:val="008C0CF8"/>
    <w:rsid w:val="008C0DA7"/>
    <w:rsid w:val="008C1834"/>
    <w:rsid w:val="008C1A7B"/>
    <w:rsid w:val="008C1C1C"/>
    <w:rsid w:val="008C240F"/>
    <w:rsid w:val="008C244B"/>
    <w:rsid w:val="008C3BFD"/>
    <w:rsid w:val="008C453A"/>
    <w:rsid w:val="008C50A6"/>
    <w:rsid w:val="008C5D6B"/>
    <w:rsid w:val="008C63EB"/>
    <w:rsid w:val="008C6ED9"/>
    <w:rsid w:val="008D0A6F"/>
    <w:rsid w:val="008D1826"/>
    <w:rsid w:val="008D2E12"/>
    <w:rsid w:val="008D34A9"/>
    <w:rsid w:val="008D4A85"/>
    <w:rsid w:val="008D4BD0"/>
    <w:rsid w:val="008D5841"/>
    <w:rsid w:val="008D5A70"/>
    <w:rsid w:val="008D60A8"/>
    <w:rsid w:val="008D6D27"/>
    <w:rsid w:val="008E012C"/>
    <w:rsid w:val="008E05AC"/>
    <w:rsid w:val="008E0814"/>
    <w:rsid w:val="008E1375"/>
    <w:rsid w:val="008E1E9E"/>
    <w:rsid w:val="008E28E1"/>
    <w:rsid w:val="008E32AD"/>
    <w:rsid w:val="008E32ED"/>
    <w:rsid w:val="008E3DC6"/>
    <w:rsid w:val="008E3E70"/>
    <w:rsid w:val="008E4484"/>
    <w:rsid w:val="008E52B2"/>
    <w:rsid w:val="008E6684"/>
    <w:rsid w:val="008E7497"/>
    <w:rsid w:val="008F0A6F"/>
    <w:rsid w:val="008F225D"/>
    <w:rsid w:val="008F2EA7"/>
    <w:rsid w:val="008F6114"/>
    <w:rsid w:val="008F748B"/>
    <w:rsid w:val="008F780B"/>
    <w:rsid w:val="00901E24"/>
    <w:rsid w:val="00902009"/>
    <w:rsid w:val="009022D8"/>
    <w:rsid w:val="0090351F"/>
    <w:rsid w:val="009047DD"/>
    <w:rsid w:val="00904E14"/>
    <w:rsid w:val="00906125"/>
    <w:rsid w:val="009067CA"/>
    <w:rsid w:val="00907488"/>
    <w:rsid w:val="009076FD"/>
    <w:rsid w:val="00907D70"/>
    <w:rsid w:val="00907E3A"/>
    <w:rsid w:val="00907FD9"/>
    <w:rsid w:val="009119C0"/>
    <w:rsid w:val="00913B0D"/>
    <w:rsid w:val="00913E16"/>
    <w:rsid w:val="00915386"/>
    <w:rsid w:val="009158AA"/>
    <w:rsid w:val="00915A0E"/>
    <w:rsid w:val="00915A83"/>
    <w:rsid w:val="00916B85"/>
    <w:rsid w:val="009177CC"/>
    <w:rsid w:val="00917BC4"/>
    <w:rsid w:val="00917EB9"/>
    <w:rsid w:val="00920979"/>
    <w:rsid w:val="009209EE"/>
    <w:rsid w:val="009231AD"/>
    <w:rsid w:val="00924F2C"/>
    <w:rsid w:val="0092607E"/>
    <w:rsid w:val="0092611F"/>
    <w:rsid w:val="00926182"/>
    <w:rsid w:val="00931196"/>
    <w:rsid w:val="00931BCD"/>
    <w:rsid w:val="0093385A"/>
    <w:rsid w:val="00933EAF"/>
    <w:rsid w:val="0093419E"/>
    <w:rsid w:val="009347C6"/>
    <w:rsid w:val="00935140"/>
    <w:rsid w:val="00936ED5"/>
    <w:rsid w:val="0093717F"/>
    <w:rsid w:val="009371FB"/>
    <w:rsid w:val="00937261"/>
    <w:rsid w:val="0094012A"/>
    <w:rsid w:val="0094046F"/>
    <w:rsid w:val="00942533"/>
    <w:rsid w:val="009427EB"/>
    <w:rsid w:val="0094307A"/>
    <w:rsid w:val="00943853"/>
    <w:rsid w:val="00944017"/>
    <w:rsid w:val="00945755"/>
    <w:rsid w:val="0094590C"/>
    <w:rsid w:val="00945C25"/>
    <w:rsid w:val="00946EE2"/>
    <w:rsid w:val="00946EE5"/>
    <w:rsid w:val="009502C1"/>
    <w:rsid w:val="009504B2"/>
    <w:rsid w:val="00950658"/>
    <w:rsid w:val="00950677"/>
    <w:rsid w:val="009506E1"/>
    <w:rsid w:val="00950850"/>
    <w:rsid w:val="009509B7"/>
    <w:rsid w:val="00950E23"/>
    <w:rsid w:val="009511AA"/>
    <w:rsid w:val="0095187D"/>
    <w:rsid w:val="00952E40"/>
    <w:rsid w:val="0095326A"/>
    <w:rsid w:val="00953401"/>
    <w:rsid w:val="00955AF7"/>
    <w:rsid w:val="00956E6C"/>
    <w:rsid w:val="0095701A"/>
    <w:rsid w:val="00957674"/>
    <w:rsid w:val="0095786C"/>
    <w:rsid w:val="009602B9"/>
    <w:rsid w:val="00961194"/>
    <w:rsid w:val="00962A9A"/>
    <w:rsid w:val="0096390C"/>
    <w:rsid w:val="00963993"/>
    <w:rsid w:val="009639C2"/>
    <w:rsid w:val="00966305"/>
    <w:rsid w:val="0096666A"/>
    <w:rsid w:val="00966E5F"/>
    <w:rsid w:val="009678FA"/>
    <w:rsid w:val="009679F2"/>
    <w:rsid w:val="00971303"/>
    <w:rsid w:val="00971CA3"/>
    <w:rsid w:val="00972007"/>
    <w:rsid w:val="00972137"/>
    <w:rsid w:val="00972916"/>
    <w:rsid w:val="00972CDB"/>
    <w:rsid w:val="00974121"/>
    <w:rsid w:val="00975C81"/>
    <w:rsid w:val="00975D7C"/>
    <w:rsid w:val="00975DE6"/>
    <w:rsid w:val="009761FE"/>
    <w:rsid w:val="00976D74"/>
    <w:rsid w:val="0097710F"/>
    <w:rsid w:val="00980990"/>
    <w:rsid w:val="009815CB"/>
    <w:rsid w:val="0098330B"/>
    <w:rsid w:val="0098418C"/>
    <w:rsid w:val="00984935"/>
    <w:rsid w:val="00984A80"/>
    <w:rsid w:val="00984AF3"/>
    <w:rsid w:val="00987688"/>
    <w:rsid w:val="00991295"/>
    <w:rsid w:val="00991369"/>
    <w:rsid w:val="009915A1"/>
    <w:rsid w:val="00991CAC"/>
    <w:rsid w:val="00993F56"/>
    <w:rsid w:val="0099455E"/>
    <w:rsid w:val="0099473B"/>
    <w:rsid w:val="00995B2C"/>
    <w:rsid w:val="00995FFC"/>
    <w:rsid w:val="0099796B"/>
    <w:rsid w:val="009A0786"/>
    <w:rsid w:val="009A12F8"/>
    <w:rsid w:val="009A1D39"/>
    <w:rsid w:val="009A2ACD"/>
    <w:rsid w:val="009A2F0F"/>
    <w:rsid w:val="009A2F85"/>
    <w:rsid w:val="009A35D4"/>
    <w:rsid w:val="009A368A"/>
    <w:rsid w:val="009A3C35"/>
    <w:rsid w:val="009A47CE"/>
    <w:rsid w:val="009B0077"/>
    <w:rsid w:val="009B029F"/>
    <w:rsid w:val="009B0788"/>
    <w:rsid w:val="009B1AAB"/>
    <w:rsid w:val="009B2069"/>
    <w:rsid w:val="009B26FF"/>
    <w:rsid w:val="009B53B6"/>
    <w:rsid w:val="009B6A0D"/>
    <w:rsid w:val="009B6C44"/>
    <w:rsid w:val="009B7E05"/>
    <w:rsid w:val="009C08D6"/>
    <w:rsid w:val="009C1D65"/>
    <w:rsid w:val="009C2EED"/>
    <w:rsid w:val="009C48DA"/>
    <w:rsid w:val="009C49B2"/>
    <w:rsid w:val="009C4BFD"/>
    <w:rsid w:val="009C518B"/>
    <w:rsid w:val="009C5A5F"/>
    <w:rsid w:val="009C6E53"/>
    <w:rsid w:val="009C73AF"/>
    <w:rsid w:val="009D133A"/>
    <w:rsid w:val="009D1669"/>
    <w:rsid w:val="009D1BF3"/>
    <w:rsid w:val="009D299A"/>
    <w:rsid w:val="009D3E15"/>
    <w:rsid w:val="009D48D5"/>
    <w:rsid w:val="009D5721"/>
    <w:rsid w:val="009D796C"/>
    <w:rsid w:val="009D7F65"/>
    <w:rsid w:val="009E0538"/>
    <w:rsid w:val="009E2606"/>
    <w:rsid w:val="009E332F"/>
    <w:rsid w:val="009E35DC"/>
    <w:rsid w:val="009E3873"/>
    <w:rsid w:val="009E5224"/>
    <w:rsid w:val="009E556F"/>
    <w:rsid w:val="009E5D75"/>
    <w:rsid w:val="009E62C0"/>
    <w:rsid w:val="009E6829"/>
    <w:rsid w:val="009E7559"/>
    <w:rsid w:val="009F06DB"/>
    <w:rsid w:val="009F0DF9"/>
    <w:rsid w:val="009F10C0"/>
    <w:rsid w:val="009F262B"/>
    <w:rsid w:val="009F2CCA"/>
    <w:rsid w:val="009F498E"/>
    <w:rsid w:val="009F4C21"/>
    <w:rsid w:val="009F5000"/>
    <w:rsid w:val="00A00B3A"/>
    <w:rsid w:val="00A02EAA"/>
    <w:rsid w:val="00A04C22"/>
    <w:rsid w:val="00A04DF4"/>
    <w:rsid w:val="00A04E90"/>
    <w:rsid w:val="00A058FA"/>
    <w:rsid w:val="00A05924"/>
    <w:rsid w:val="00A0599F"/>
    <w:rsid w:val="00A10CE0"/>
    <w:rsid w:val="00A1127C"/>
    <w:rsid w:val="00A11B74"/>
    <w:rsid w:val="00A12190"/>
    <w:rsid w:val="00A1258F"/>
    <w:rsid w:val="00A12808"/>
    <w:rsid w:val="00A1349B"/>
    <w:rsid w:val="00A141B0"/>
    <w:rsid w:val="00A14208"/>
    <w:rsid w:val="00A148AE"/>
    <w:rsid w:val="00A151E4"/>
    <w:rsid w:val="00A15643"/>
    <w:rsid w:val="00A1677A"/>
    <w:rsid w:val="00A167BC"/>
    <w:rsid w:val="00A17071"/>
    <w:rsid w:val="00A21B5B"/>
    <w:rsid w:val="00A220D0"/>
    <w:rsid w:val="00A224E7"/>
    <w:rsid w:val="00A2261C"/>
    <w:rsid w:val="00A22F1A"/>
    <w:rsid w:val="00A22F57"/>
    <w:rsid w:val="00A23882"/>
    <w:rsid w:val="00A240F4"/>
    <w:rsid w:val="00A241CD"/>
    <w:rsid w:val="00A244D3"/>
    <w:rsid w:val="00A24B60"/>
    <w:rsid w:val="00A260A1"/>
    <w:rsid w:val="00A30F3B"/>
    <w:rsid w:val="00A32516"/>
    <w:rsid w:val="00A327A4"/>
    <w:rsid w:val="00A346AE"/>
    <w:rsid w:val="00A346DA"/>
    <w:rsid w:val="00A34741"/>
    <w:rsid w:val="00A34782"/>
    <w:rsid w:val="00A36D94"/>
    <w:rsid w:val="00A37BF5"/>
    <w:rsid w:val="00A37F82"/>
    <w:rsid w:val="00A4065D"/>
    <w:rsid w:val="00A41786"/>
    <w:rsid w:val="00A420F2"/>
    <w:rsid w:val="00A437B4"/>
    <w:rsid w:val="00A4449A"/>
    <w:rsid w:val="00A451F8"/>
    <w:rsid w:val="00A45891"/>
    <w:rsid w:val="00A458ED"/>
    <w:rsid w:val="00A46CF3"/>
    <w:rsid w:val="00A47236"/>
    <w:rsid w:val="00A47F36"/>
    <w:rsid w:val="00A503FD"/>
    <w:rsid w:val="00A508E4"/>
    <w:rsid w:val="00A5395B"/>
    <w:rsid w:val="00A541AC"/>
    <w:rsid w:val="00A54575"/>
    <w:rsid w:val="00A54FD3"/>
    <w:rsid w:val="00A56D2A"/>
    <w:rsid w:val="00A56DFF"/>
    <w:rsid w:val="00A603AE"/>
    <w:rsid w:val="00A62D22"/>
    <w:rsid w:val="00A630F3"/>
    <w:rsid w:val="00A6361E"/>
    <w:rsid w:val="00A63F31"/>
    <w:rsid w:val="00A64B6C"/>
    <w:rsid w:val="00A66BA0"/>
    <w:rsid w:val="00A67C99"/>
    <w:rsid w:val="00A7067D"/>
    <w:rsid w:val="00A71909"/>
    <w:rsid w:val="00A71CBD"/>
    <w:rsid w:val="00A72898"/>
    <w:rsid w:val="00A72E1B"/>
    <w:rsid w:val="00A7474A"/>
    <w:rsid w:val="00A74B8C"/>
    <w:rsid w:val="00A7576E"/>
    <w:rsid w:val="00A7592F"/>
    <w:rsid w:val="00A75DEE"/>
    <w:rsid w:val="00A768FA"/>
    <w:rsid w:val="00A7733A"/>
    <w:rsid w:val="00A7759C"/>
    <w:rsid w:val="00A80AC6"/>
    <w:rsid w:val="00A819CB"/>
    <w:rsid w:val="00A81B95"/>
    <w:rsid w:val="00A82635"/>
    <w:rsid w:val="00A8365E"/>
    <w:rsid w:val="00A860D7"/>
    <w:rsid w:val="00A866C3"/>
    <w:rsid w:val="00A8676E"/>
    <w:rsid w:val="00A86C8F"/>
    <w:rsid w:val="00A87DC2"/>
    <w:rsid w:val="00A87F1A"/>
    <w:rsid w:val="00A9409F"/>
    <w:rsid w:val="00A9539A"/>
    <w:rsid w:val="00A97330"/>
    <w:rsid w:val="00A97C02"/>
    <w:rsid w:val="00A97C5B"/>
    <w:rsid w:val="00A97E2B"/>
    <w:rsid w:val="00AA0010"/>
    <w:rsid w:val="00AA0428"/>
    <w:rsid w:val="00AA047B"/>
    <w:rsid w:val="00AA11E2"/>
    <w:rsid w:val="00AA139E"/>
    <w:rsid w:val="00AA14F2"/>
    <w:rsid w:val="00AA160D"/>
    <w:rsid w:val="00AA1F9C"/>
    <w:rsid w:val="00AA34A0"/>
    <w:rsid w:val="00AA473D"/>
    <w:rsid w:val="00AA4790"/>
    <w:rsid w:val="00AA4EAC"/>
    <w:rsid w:val="00AA5608"/>
    <w:rsid w:val="00AA596B"/>
    <w:rsid w:val="00AB12F0"/>
    <w:rsid w:val="00AB18DA"/>
    <w:rsid w:val="00AB2903"/>
    <w:rsid w:val="00AB2A9D"/>
    <w:rsid w:val="00AB551D"/>
    <w:rsid w:val="00AB561E"/>
    <w:rsid w:val="00AB6BA5"/>
    <w:rsid w:val="00AB76A0"/>
    <w:rsid w:val="00AB785D"/>
    <w:rsid w:val="00AB7B33"/>
    <w:rsid w:val="00AB7C26"/>
    <w:rsid w:val="00AC0013"/>
    <w:rsid w:val="00AC0250"/>
    <w:rsid w:val="00AC1493"/>
    <w:rsid w:val="00AC1843"/>
    <w:rsid w:val="00AC26F5"/>
    <w:rsid w:val="00AC2F5C"/>
    <w:rsid w:val="00AC351B"/>
    <w:rsid w:val="00AC37B0"/>
    <w:rsid w:val="00AC3CCB"/>
    <w:rsid w:val="00AC463F"/>
    <w:rsid w:val="00AC4A1C"/>
    <w:rsid w:val="00AC5469"/>
    <w:rsid w:val="00AC63DD"/>
    <w:rsid w:val="00AC6484"/>
    <w:rsid w:val="00AC71DF"/>
    <w:rsid w:val="00AD1BAC"/>
    <w:rsid w:val="00AD1C31"/>
    <w:rsid w:val="00AD22B2"/>
    <w:rsid w:val="00AD3B70"/>
    <w:rsid w:val="00AD436F"/>
    <w:rsid w:val="00AD47F7"/>
    <w:rsid w:val="00AD63E0"/>
    <w:rsid w:val="00AD6A5F"/>
    <w:rsid w:val="00AE02FF"/>
    <w:rsid w:val="00AE05F6"/>
    <w:rsid w:val="00AE0C45"/>
    <w:rsid w:val="00AE18F1"/>
    <w:rsid w:val="00AE1B27"/>
    <w:rsid w:val="00AE22AA"/>
    <w:rsid w:val="00AE2387"/>
    <w:rsid w:val="00AE2F71"/>
    <w:rsid w:val="00AE326F"/>
    <w:rsid w:val="00AE3BB9"/>
    <w:rsid w:val="00AF0B60"/>
    <w:rsid w:val="00AF62BD"/>
    <w:rsid w:val="00AF6572"/>
    <w:rsid w:val="00AF678F"/>
    <w:rsid w:val="00B00A7C"/>
    <w:rsid w:val="00B00D37"/>
    <w:rsid w:val="00B00DCF"/>
    <w:rsid w:val="00B00F42"/>
    <w:rsid w:val="00B011AA"/>
    <w:rsid w:val="00B0183E"/>
    <w:rsid w:val="00B03F83"/>
    <w:rsid w:val="00B042D9"/>
    <w:rsid w:val="00B0481B"/>
    <w:rsid w:val="00B048FD"/>
    <w:rsid w:val="00B05318"/>
    <w:rsid w:val="00B05394"/>
    <w:rsid w:val="00B057C6"/>
    <w:rsid w:val="00B05D15"/>
    <w:rsid w:val="00B068CD"/>
    <w:rsid w:val="00B06EC4"/>
    <w:rsid w:val="00B1128E"/>
    <w:rsid w:val="00B11E44"/>
    <w:rsid w:val="00B139F1"/>
    <w:rsid w:val="00B13C20"/>
    <w:rsid w:val="00B15A63"/>
    <w:rsid w:val="00B160AD"/>
    <w:rsid w:val="00B17027"/>
    <w:rsid w:val="00B1758F"/>
    <w:rsid w:val="00B20A4D"/>
    <w:rsid w:val="00B20CD9"/>
    <w:rsid w:val="00B21343"/>
    <w:rsid w:val="00B21922"/>
    <w:rsid w:val="00B21F3B"/>
    <w:rsid w:val="00B22769"/>
    <w:rsid w:val="00B23814"/>
    <w:rsid w:val="00B23A74"/>
    <w:rsid w:val="00B24C47"/>
    <w:rsid w:val="00B25282"/>
    <w:rsid w:val="00B25561"/>
    <w:rsid w:val="00B25850"/>
    <w:rsid w:val="00B258C6"/>
    <w:rsid w:val="00B268D6"/>
    <w:rsid w:val="00B26C6E"/>
    <w:rsid w:val="00B2704F"/>
    <w:rsid w:val="00B276FE"/>
    <w:rsid w:val="00B279B7"/>
    <w:rsid w:val="00B305E1"/>
    <w:rsid w:val="00B3112D"/>
    <w:rsid w:val="00B316A0"/>
    <w:rsid w:val="00B31E63"/>
    <w:rsid w:val="00B335A6"/>
    <w:rsid w:val="00B35093"/>
    <w:rsid w:val="00B35E1A"/>
    <w:rsid w:val="00B362BC"/>
    <w:rsid w:val="00B36BAC"/>
    <w:rsid w:val="00B36E9E"/>
    <w:rsid w:val="00B377BD"/>
    <w:rsid w:val="00B379DF"/>
    <w:rsid w:val="00B41527"/>
    <w:rsid w:val="00B4236F"/>
    <w:rsid w:val="00B4293B"/>
    <w:rsid w:val="00B429B9"/>
    <w:rsid w:val="00B4521E"/>
    <w:rsid w:val="00B45834"/>
    <w:rsid w:val="00B4611B"/>
    <w:rsid w:val="00B46878"/>
    <w:rsid w:val="00B47007"/>
    <w:rsid w:val="00B479C2"/>
    <w:rsid w:val="00B50534"/>
    <w:rsid w:val="00B52A73"/>
    <w:rsid w:val="00B53BD5"/>
    <w:rsid w:val="00B54367"/>
    <w:rsid w:val="00B54CAD"/>
    <w:rsid w:val="00B55069"/>
    <w:rsid w:val="00B55299"/>
    <w:rsid w:val="00B55822"/>
    <w:rsid w:val="00B559F2"/>
    <w:rsid w:val="00B56387"/>
    <w:rsid w:val="00B5676A"/>
    <w:rsid w:val="00B6028F"/>
    <w:rsid w:val="00B61A17"/>
    <w:rsid w:val="00B61DAF"/>
    <w:rsid w:val="00B61F93"/>
    <w:rsid w:val="00B630AE"/>
    <w:rsid w:val="00B6352A"/>
    <w:rsid w:val="00B63D7E"/>
    <w:rsid w:val="00B63D91"/>
    <w:rsid w:val="00B644D8"/>
    <w:rsid w:val="00B656E1"/>
    <w:rsid w:val="00B66E7B"/>
    <w:rsid w:val="00B66F11"/>
    <w:rsid w:val="00B67428"/>
    <w:rsid w:val="00B675B0"/>
    <w:rsid w:val="00B67AEA"/>
    <w:rsid w:val="00B701F1"/>
    <w:rsid w:val="00B71888"/>
    <w:rsid w:val="00B71EC0"/>
    <w:rsid w:val="00B72008"/>
    <w:rsid w:val="00B72A05"/>
    <w:rsid w:val="00B72CFF"/>
    <w:rsid w:val="00B73A9D"/>
    <w:rsid w:val="00B74A3A"/>
    <w:rsid w:val="00B753EC"/>
    <w:rsid w:val="00B760FE"/>
    <w:rsid w:val="00B76783"/>
    <w:rsid w:val="00B76998"/>
    <w:rsid w:val="00B76A80"/>
    <w:rsid w:val="00B77D2A"/>
    <w:rsid w:val="00B80499"/>
    <w:rsid w:val="00B8193E"/>
    <w:rsid w:val="00B821B7"/>
    <w:rsid w:val="00B828B1"/>
    <w:rsid w:val="00B82C4D"/>
    <w:rsid w:val="00B8435F"/>
    <w:rsid w:val="00B84D38"/>
    <w:rsid w:val="00B857E0"/>
    <w:rsid w:val="00B85D4B"/>
    <w:rsid w:val="00B860F4"/>
    <w:rsid w:val="00B86B82"/>
    <w:rsid w:val="00B87705"/>
    <w:rsid w:val="00B900F9"/>
    <w:rsid w:val="00B90824"/>
    <w:rsid w:val="00B90BDB"/>
    <w:rsid w:val="00B91023"/>
    <w:rsid w:val="00B91A1B"/>
    <w:rsid w:val="00B921F1"/>
    <w:rsid w:val="00B92238"/>
    <w:rsid w:val="00B92A14"/>
    <w:rsid w:val="00B93EE6"/>
    <w:rsid w:val="00B94A09"/>
    <w:rsid w:val="00B97067"/>
    <w:rsid w:val="00B9738C"/>
    <w:rsid w:val="00B97D7E"/>
    <w:rsid w:val="00BA008C"/>
    <w:rsid w:val="00BA05B4"/>
    <w:rsid w:val="00BA0754"/>
    <w:rsid w:val="00BA0D0B"/>
    <w:rsid w:val="00BA1997"/>
    <w:rsid w:val="00BA1AF7"/>
    <w:rsid w:val="00BA2D16"/>
    <w:rsid w:val="00BA34E1"/>
    <w:rsid w:val="00BA397F"/>
    <w:rsid w:val="00BA3A14"/>
    <w:rsid w:val="00BA4BB5"/>
    <w:rsid w:val="00BA7A8C"/>
    <w:rsid w:val="00BB20B5"/>
    <w:rsid w:val="00BB2E4E"/>
    <w:rsid w:val="00BB34C8"/>
    <w:rsid w:val="00BB35E7"/>
    <w:rsid w:val="00BB48CF"/>
    <w:rsid w:val="00BB48EE"/>
    <w:rsid w:val="00BB4D32"/>
    <w:rsid w:val="00BB6E4E"/>
    <w:rsid w:val="00BC19B4"/>
    <w:rsid w:val="00BC25AB"/>
    <w:rsid w:val="00BC3A35"/>
    <w:rsid w:val="00BC3D5A"/>
    <w:rsid w:val="00BC4013"/>
    <w:rsid w:val="00BC4964"/>
    <w:rsid w:val="00BC5743"/>
    <w:rsid w:val="00BD089E"/>
    <w:rsid w:val="00BD0E48"/>
    <w:rsid w:val="00BD1166"/>
    <w:rsid w:val="00BD141B"/>
    <w:rsid w:val="00BD1718"/>
    <w:rsid w:val="00BD288D"/>
    <w:rsid w:val="00BD456D"/>
    <w:rsid w:val="00BD491C"/>
    <w:rsid w:val="00BD4AFF"/>
    <w:rsid w:val="00BD65BE"/>
    <w:rsid w:val="00BD77F6"/>
    <w:rsid w:val="00BD7AA3"/>
    <w:rsid w:val="00BE0A38"/>
    <w:rsid w:val="00BE1B04"/>
    <w:rsid w:val="00BE21A3"/>
    <w:rsid w:val="00BE2354"/>
    <w:rsid w:val="00BE39E5"/>
    <w:rsid w:val="00BE4074"/>
    <w:rsid w:val="00BE432B"/>
    <w:rsid w:val="00BE4ACA"/>
    <w:rsid w:val="00BE4B14"/>
    <w:rsid w:val="00BE4B8B"/>
    <w:rsid w:val="00BE5085"/>
    <w:rsid w:val="00BE70B5"/>
    <w:rsid w:val="00BE7A57"/>
    <w:rsid w:val="00BF1613"/>
    <w:rsid w:val="00BF1978"/>
    <w:rsid w:val="00BF2B9F"/>
    <w:rsid w:val="00BF3E19"/>
    <w:rsid w:val="00BF46C7"/>
    <w:rsid w:val="00BF4933"/>
    <w:rsid w:val="00BF5271"/>
    <w:rsid w:val="00BF52AB"/>
    <w:rsid w:val="00BF6223"/>
    <w:rsid w:val="00BF6967"/>
    <w:rsid w:val="00BF72B5"/>
    <w:rsid w:val="00BF74DD"/>
    <w:rsid w:val="00BF7704"/>
    <w:rsid w:val="00C00C67"/>
    <w:rsid w:val="00C05889"/>
    <w:rsid w:val="00C05EAB"/>
    <w:rsid w:val="00C05F82"/>
    <w:rsid w:val="00C0643F"/>
    <w:rsid w:val="00C075C3"/>
    <w:rsid w:val="00C07AD0"/>
    <w:rsid w:val="00C07C02"/>
    <w:rsid w:val="00C11F3B"/>
    <w:rsid w:val="00C12C41"/>
    <w:rsid w:val="00C1300D"/>
    <w:rsid w:val="00C13EFB"/>
    <w:rsid w:val="00C14259"/>
    <w:rsid w:val="00C1473F"/>
    <w:rsid w:val="00C149AE"/>
    <w:rsid w:val="00C1743E"/>
    <w:rsid w:val="00C17F9E"/>
    <w:rsid w:val="00C20A43"/>
    <w:rsid w:val="00C20E66"/>
    <w:rsid w:val="00C2118B"/>
    <w:rsid w:val="00C23E2D"/>
    <w:rsid w:val="00C23F1A"/>
    <w:rsid w:val="00C2490C"/>
    <w:rsid w:val="00C24CC1"/>
    <w:rsid w:val="00C24F4A"/>
    <w:rsid w:val="00C2547D"/>
    <w:rsid w:val="00C256BB"/>
    <w:rsid w:val="00C25A45"/>
    <w:rsid w:val="00C26930"/>
    <w:rsid w:val="00C26BCE"/>
    <w:rsid w:val="00C26BF7"/>
    <w:rsid w:val="00C26C24"/>
    <w:rsid w:val="00C303FD"/>
    <w:rsid w:val="00C30A58"/>
    <w:rsid w:val="00C310C6"/>
    <w:rsid w:val="00C3126A"/>
    <w:rsid w:val="00C31D07"/>
    <w:rsid w:val="00C31D74"/>
    <w:rsid w:val="00C323D8"/>
    <w:rsid w:val="00C325F6"/>
    <w:rsid w:val="00C32D34"/>
    <w:rsid w:val="00C33C6A"/>
    <w:rsid w:val="00C34401"/>
    <w:rsid w:val="00C361FF"/>
    <w:rsid w:val="00C36260"/>
    <w:rsid w:val="00C36928"/>
    <w:rsid w:val="00C36B90"/>
    <w:rsid w:val="00C3776B"/>
    <w:rsid w:val="00C377E9"/>
    <w:rsid w:val="00C37AED"/>
    <w:rsid w:val="00C37B8B"/>
    <w:rsid w:val="00C40492"/>
    <w:rsid w:val="00C408FA"/>
    <w:rsid w:val="00C420DD"/>
    <w:rsid w:val="00C42E12"/>
    <w:rsid w:val="00C4551B"/>
    <w:rsid w:val="00C45A96"/>
    <w:rsid w:val="00C45C0C"/>
    <w:rsid w:val="00C50096"/>
    <w:rsid w:val="00C503BB"/>
    <w:rsid w:val="00C51064"/>
    <w:rsid w:val="00C521D7"/>
    <w:rsid w:val="00C52E96"/>
    <w:rsid w:val="00C5314B"/>
    <w:rsid w:val="00C537B2"/>
    <w:rsid w:val="00C5394F"/>
    <w:rsid w:val="00C548BC"/>
    <w:rsid w:val="00C54ACB"/>
    <w:rsid w:val="00C55CB3"/>
    <w:rsid w:val="00C55CED"/>
    <w:rsid w:val="00C55D69"/>
    <w:rsid w:val="00C56B59"/>
    <w:rsid w:val="00C57029"/>
    <w:rsid w:val="00C578E0"/>
    <w:rsid w:val="00C60173"/>
    <w:rsid w:val="00C607FC"/>
    <w:rsid w:val="00C60DFD"/>
    <w:rsid w:val="00C615B6"/>
    <w:rsid w:val="00C62D8C"/>
    <w:rsid w:val="00C6327E"/>
    <w:rsid w:val="00C63326"/>
    <w:rsid w:val="00C634A5"/>
    <w:rsid w:val="00C6515E"/>
    <w:rsid w:val="00C655D7"/>
    <w:rsid w:val="00C65AEF"/>
    <w:rsid w:val="00C65C6D"/>
    <w:rsid w:val="00C67DFB"/>
    <w:rsid w:val="00C7143B"/>
    <w:rsid w:val="00C714AA"/>
    <w:rsid w:val="00C732ED"/>
    <w:rsid w:val="00C73727"/>
    <w:rsid w:val="00C74DF2"/>
    <w:rsid w:val="00C7557A"/>
    <w:rsid w:val="00C76FAA"/>
    <w:rsid w:val="00C77BC2"/>
    <w:rsid w:val="00C82070"/>
    <w:rsid w:val="00C8258D"/>
    <w:rsid w:val="00C82A8B"/>
    <w:rsid w:val="00C83C89"/>
    <w:rsid w:val="00C83D08"/>
    <w:rsid w:val="00C83DE4"/>
    <w:rsid w:val="00C85046"/>
    <w:rsid w:val="00C85615"/>
    <w:rsid w:val="00C8757A"/>
    <w:rsid w:val="00C907EB"/>
    <w:rsid w:val="00C91391"/>
    <w:rsid w:val="00C92193"/>
    <w:rsid w:val="00C92891"/>
    <w:rsid w:val="00C92DF9"/>
    <w:rsid w:val="00C93B67"/>
    <w:rsid w:val="00C9400C"/>
    <w:rsid w:val="00C94687"/>
    <w:rsid w:val="00C946BA"/>
    <w:rsid w:val="00C94C29"/>
    <w:rsid w:val="00C94E1C"/>
    <w:rsid w:val="00C954EA"/>
    <w:rsid w:val="00C9562C"/>
    <w:rsid w:val="00C95E3C"/>
    <w:rsid w:val="00C96D3E"/>
    <w:rsid w:val="00C972FC"/>
    <w:rsid w:val="00CA00D8"/>
    <w:rsid w:val="00CA1553"/>
    <w:rsid w:val="00CA28E4"/>
    <w:rsid w:val="00CA40CC"/>
    <w:rsid w:val="00CA551B"/>
    <w:rsid w:val="00CA65E6"/>
    <w:rsid w:val="00CA6701"/>
    <w:rsid w:val="00CA69B4"/>
    <w:rsid w:val="00CA78DD"/>
    <w:rsid w:val="00CA7CBE"/>
    <w:rsid w:val="00CB2EC9"/>
    <w:rsid w:val="00CB420F"/>
    <w:rsid w:val="00CB457B"/>
    <w:rsid w:val="00CB4698"/>
    <w:rsid w:val="00CB4A95"/>
    <w:rsid w:val="00CB4C16"/>
    <w:rsid w:val="00CB5B1C"/>
    <w:rsid w:val="00CC1CF3"/>
    <w:rsid w:val="00CC2095"/>
    <w:rsid w:val="00CC302C"/>
    <w:rsid w:val="00CC326F"/>
    <w:rsid w:val="00CC3687"/>
    <w:rsid w:val="00CC40E9"/>
    <w:rsid w:val="00CC46BB"/>
    <w:rsid w:val="00CC4789"/>
    <w:rsid w:val="00CC5C54"/>
    <w:rsid w:val="00CD01DF"/>
    <w:rsid w:val="00CD041B"/>
    <w:rsid w:val="00CD0490"/>
    <w:rsid w:val="00CD1F8F"/>
    <w:rsid w:val="00CD3346"/>
    <w:rsid w:val="00CD44F6"/>
    <w:rsid w:val="00CD542E"/>
    <w:rsid w:val="00CD637A"/>
    <w:rsid w:val="00CD640C"/>
    <w:rsid w:val="00CD6DCF"/>
    <w:rsid w:val="00CD72D2"/>
    <w:rsid w:val="00CD746B"/>
    <w:rsid w:val="00CD7AAC"/>
    <w:rsid w:val="00CE1547"/>
    <w:rsid w:val="00CE27F9"/>
    <w:rsid w:val="00CE2CFC"/>
    <w:rsid w:val="00CE3163"/>
    <w:rsid w:val="00CE378D"/>
    <w:rsid w:val="00CE3E0F"/>
    <w:rsid w:val="00CE4623"/>
    <w:rsid w:val="00CE46E4"/>
    <w:rsid w:val="00CE4A57"/>
    <w:rsid w:val="00CE524F"/>
    <w:rsid w:val="00CE57EC"/>
    <w:rsid w:val="00CF01B9"/>
    <w:rsid w:val="00CF04A8"/>
    <w:rsid w:val="00CF0834"/>
    <w:rsid w:val="00CF115B"/>
    <w:rsid w:val="00CF2DAA"/>
    <w:rsid w:val="00CF30F2"/>
    <w:rsid w:val="00CF31FD"/>
    <w:rsid w:val="00CF3A41"/>
    <w:rsid w:val="00CF3E85"/>
    <w:rsid w:val="00CF4E7D"/>
    <w:rsid w:val="00CF66F3"/>
    <w:rsid w:val="00CF7963"/>
    <w:rsid w:val="00D0141D"/>
    <w:rsid w:val="00D01438"/>
    <w:rsid w:val="00D01BEB"/>
    <w:rsid w:val="00D03925"/>
    <w:rsid w:val="00D03B95"/>
    <w:rsid w:val="00D04B28"/>
    <w:rsid w:val="00D04F57"/>
    <w:rsid w:val="00D054B2"/>
    <w:rsid w:val="00D0706C"/>
    <w:rsid w:val="00D07C69"/>
    <w:rsid w:val="00D11080"/>
    <w:rsid w:val="00D112F8"/>
    <w:rsid w:val="00D121A2"/>
    <w:rsid w:val="00D12703"/>
    <w:rsid w:val="00D13780"/>
    <w:rsid w:val="00D13BFB"/>
    <w:rsid w:val="00D1444C"/>
    <w:rsid w:val="00D14829"/>
    <w:rsid w:val="00D14C4C"/>
    <w:rsid w:val="00D154C3"/>
    <w:rsid w:val="00D166EF"/>
    <w:rsid w:val="00D170A7"/>
    <w:rsid w:val="00D17C80"/>
    <w:rsid w:val="00D22238"/>
    <w:rsid w:val="00D223EB"/>
    <w:rsid w:val="00D22D39"/>
    <w:rsid w:val="00D2342F"/>
    <w:rsid w:val="00D2416F"/>
    <w:rsid w:val="00D24ACF"/>
    <w:rsid w:val="00D25B50"/>
    <w:rsid w:val="00D25D46"/>
    <w:rsid w:val="00D25D79"/>
    <w:rsid w:val="00D2614C"/>
    <w:rsid w:val="00D272C6"/>
    <w:rsid w:val="00D278D9"/>
    <w:rsid w:val="00D27A72"/>
    <w:rsid w:val="00D27AB3"/>
    <w:rsid w:val="00D27AE4"/>
    <w:rsid w:val="00D27BEC"/>
    <w:rsid w:val="00D30134"/>
    <w:rsid w:val="00D316B1"/>
    <w:rsid w:val="00D317A4"/>
    <w:rsid w:val="00D31938"/>
    <w:rsid w:val="00D33808"/>
    <w:rsid w:val="00D33983"/>
    <w:rsid w:val="00D34149"/>
    <w:rsid w:val="00D35471"/>
    <w:rsid w:val="00D4024F"/>
    <w:rsid w:val="00D402AE"/>
    <w:rsid w:val="00D408A3"/>
    <w:rsid w:val="00D41CF5"/>
    <w:rsid w:val="00D42799"/>
    <w:rsid w:val="00D43778"/>
    <w:rsid w:val="00D43ED0"/>
    <w:rsid w:val="00D44CCA"/>
    <w:rsid w:val="00D45017"/>
    <w:rsid w:val="00D45022"/>
    <w:rsid w:val="00D45907"/>
    <w:rsid w:val="00D46B49"/>
    <w:rsid w:val="00D472AD"/>
    <w:rsid w:val="00D4764F"/>
    <w:rsid w:val="00D50967"/>
    <w:rsid w:val="00D50CA9"/>
    <w:rsid w:val="00D51183"/>
    <w:rsid w:val="00D51C5B"/>
    <w:rsid w:val="00D52DFB"/>
    <w:rsid w:val="00D534DE"/>
    <w:rsid w:val="00D53EF2"/>
    <w:rsid w:val="00D549A4"/>
    <w:rsid w:val="00D5511B"/>
    <w:rsid w:val="00D5558D"/>
    <w:rsid w:val="00D57552"/>
    <w:rsid w:val="00D60408"/>
    <w:rsid w:val="00D60B09"/>
    <w:rsid w:val="00D61254"/>
    <w:rsid w:val="00D6150A"/>
    <w:rsid w:val="00D61838"/>
    <w:rsid w:val="00D62153"/>
    <w:rsid w:val="00D62764"/>
    <w:rsid w:val="00D62B9F"/>
    <w:rsid w:val="00D63659"/>
    <w:rsid w:val="00D64F32"/>
    <w:rsid w:val="00D659F4"/>
    <w:rsid w:val="00D6663D"/>
    <w:rsid w:val="00D66D94"/>
    <w:rsid w:val="00D66E8E"/>
    <w:rsid w:val="00D67C82"/>
    <w:rsid w:val="00D70D25"/>
    <w:rsid w:val="00D71B6F"/>
    <w:rsid w:val="00D720A4"/>
    <w:rsid w:val="00D72280"/>
    <w:rsid w:val="00D727BC"/>
    <w:rsid w:val="00D73141"/>
    <w:rsid w:val="00D745F2"/>
    <w:rsid w:val="00D74627"/>
    <w:rsid w:val="00D7483C"/>
    <w:rsid w:val="00D751D6"/>
    <w:rsid w:val="00D75D02"/>
    <w:rsid w:val="00D76592"/>
    <w:rsid w:val="00D76713"/>
    <w:rsid w:val="00D77D63"/>
    <w:rsid w:val="00D80BA3"/>
    <w:rsid w:val="00D82F47"/>
    <w:rsid w:val="00D83650"/>
    <w:rsid w:val="00D8426D"/>
    <w:rsid w:val="00D84C7E"/>
    <w:rsid w:val="00D850D7"/>
    <w:rsid w:val="00D85C62"/>
    <w:rsid w:val="00D86613"/>
    <w:rsid w:val="00D86626"/>
    <w:rsid w:val="00D87E17"/>
    <w:rsid w:val="00D90D16"/>
    <w:rsid w:val="00D9200B"/>
    <w:rsid w:val="00D92B21"/>
    <w:rsid w:val="00D92CBF"/>
    <w:rsid w:val="00D953BB"/>
    <w:rsid w:val="00D96152"/>
    <w:rsid w:val="00DA1E2D"/>
    <w:rsid w:val="00DA3D66"/>
    <w:rsid w:val="00DA6B7E"/>
    <w:rsid w:val="00DA73AB"/>
    <w:rsid w:val="00DA7CE7"/>
    <w:rsid w:val="00DB05C3"/>
    <w:rsid w:val="00DB0FED"/>
    <w:rsid w:val="00DB1E9E"/>
    <w:rsid w:val="00DB4C40"/>
    <w:rsid w:val="00DB6F57"/>
    <w:rsid w:val="00DB7B0D"/>
    <w:rsid w:val="00DB7DD4"/>
    <w:rsid w:val="00DB7FD2"/>
    <w:rsid w:val="00DC07AA"/>
    <w:rsid w:val="00DC08E9"/>
    <w:rsid w:val="00DC0D37"/>
    <w:rsid w:val="00DC217F"/>
    <w:rsid w:val="00DC222F"/>
    <w:rsid w:val="00DC23DD"/>
    <w:rsid w:val="00DC3171"/>
    <w:rsid w:val="00DC32DE"/>
    <w:rsid w:val="00DC46DF"/>
    <w:rsid w:val="00DC528F"/>
    <w:rsid w:val="00DC5510"/>
    <w:rsid w:val="00DC6395"/>
    <w:rsid w:val="00DC678D"/>
    <w:rsid w:val="00DC774C"/>
    <w:rsid w:val="00DC791F"/>
    <w:rsid w:val="00DD036C"/>
    <w:rsid w:val="00DD06CB"/>
    <w:rsid w:val="00DD0DF8"/>
    <w:rsid w:val="00DD1E63"/>
    <w:rsid w:val="00DD1F7D"/>
    <w:rsid w:val="00DD22F2"/>
    <w:rsid w:val="00DD31B9"/>
    <w:rsid w:val="00DD34F9"/>
    <w:rsid w:val="00DD4224"/>
    <w:rsid w:val="00DD5723"/>
    <w:rsid w:val="00DD5A95"/>
    <w:rsid w:val="00DD5CA8"/>
    <w:rsid w:val="00DE020A"/>
    <w:rsid w:val="00DE07D4"/>
    <w:rsid w:val="00DE0AE5"/>
    <w:rsid w:val="00DE0E01"/>
    <w:rsid w:val="00DE1A93"/>
    <w:rsid w:val="00DE23BD"/>
    <w:rsid w:val="00DE496D"/>
    <w:rsid w:val="00DE4989"/>
    <w:rsid w:val="00DE5ADE"/>
    <w:rsid w:val="00DE5F25"/>
    <w:rsid w:val="00DE6B74"/>
    <w:rsid w:val="00DE6FEC"/>
    <w:rsid w:val="00DE7735"/>
    <w:rsid w:val="00DF0D04"/>
    <w:rsid w:val="00DF1014"/>
    <w:rsid w:val="00DF14B7"/>
    <w:rsid w:val="00DF268C"/>
    <w:rsid w:val="00DF281C"/>
    <w:rsid w:val="00DF3772"/>
    <w:rsid w:val="00DF3982"/>
    <w:rsid w:val="00DF636A"/>
    <w:rsid w:val="00DF6B9B"/>
    <w:rsid w:val="00E01CB1"/>
    <w:rsid w:val="00E03E3A"/>
    <w:rsid w:val="00E0480E"/>
    <w:rsid w:val="00E061C0"/>
    <w:rsid w:val="00E06589"/>
    <w:rsid w:val="00E069AE"/>
    <w:rsid w:val="00E06FEE"/>
    <w:rsid w:val="00E11361"/>
    <w:rsid w:val="00E11FF9"/>
    <w:rsid w:val="00E1261D"/>
    <w:rsid w:val="00E1352B"/>
    <w:rsid w:val="00E136E2"/>
    <w:rsid w:val="00E14BDB"/>
    <w:rsid w:val="00E1633D"/>
    <w:rsid w:val="00E1641E"/>
    <w:rsid w:val="00E175EC"/>
    <w:rsid w:val="00E20F5F"/>
    <w:rsid w:val="00E21029"/>
    <w:rsid w:val="00E213FA"/>
    <w:rsid w:val="00E21EB6"/>
    <w:rsid w:val="00E220BB"/>
    <w:rsid w:val="00E228CB"/>
    <w:rsid w:val="00E22987"/>
    <w:rsid w:val="00E2301D"/>
    <w:rsid w:val="00E23578"/>
    <w:rsid w:val="00E24817"/>
    <w:rsid w:val="00E25CC7"/>
    <w:rsid w:val="00E2659B"/>
    <w:rsid w:val="00E26762"/>
    <w:rsid w:val="00E26AAF"/>
    <w:rsid w:val="00E26E96"/>
    <w:rsid w:val="00E27859"/>
    <w:rsid w:val="00E301FA"/>
    <w:rsid w:val="00E310AF"/>
    <w:rsid w:val="00E311AF"/>
    <w:rsid w:val="00E318FC"/>
    <w:rsid w:val="00E31DB2"/>
    <w:rsid w:val="00E31E72"/>
    <w:rsid w:val="00E321D3"/>
    <w:rsid w:val="00E3485A"/>
    <w:rsid w:val="00E36733"/>
    <w:rsid w:val="00E3690E"/>
    <w:rsid w:val="00E369B3"/>
    <w:rsid w:val="00E36C9E"/>
    <w:rsid w:val="00E3743D"/>
    <w:rsid w:val="00E37857"/>
    <w:rsid w:val="00E412B9"/>
    <w:rsid w:val="00E41908"/>
    <w:rsid w:val="00E41912"/>
    <w:rsid w:val="00E43130"/>
    <w:rsid w:val="00E442C6"/>
    <w:rsid w:val="00E4526F"/>
    <w:rsid w:val="00E459D5"/>
    <w:rsid w:val="00E460A9"/>
    <w:rsid w:val="00E46B2B"/>
    <w:rsid w:val="00E477F2"/>
    <w:rsid w:val="00E502FD"/>
    <w:rsid w:val="00E50FE9"/>
    <w:rsid w:val="00E529DE"/>
    <w:rsid w:val="00E53676"/>
    <w:rsid w:val="00E53BBE"/>
    <w:rsid w:val="00E543AA"/>
    <w:rsid w:val="00E54D56"/>
    <w:rsid w:val="00E5522B"/>
    <w:rsid w:val="00E562FC"/>
    <w:rsid w:val="00E56F7B"/>
    <w:rsid w:val="00E61786"/>
    <w:rsid w:val="00E630C2"/>
    <w:rsid w:val="00E636AA"/>
    <w:rsid w:val="00E63A70"/>
    <w:rsid w:val="00E63F0E"/>
    <w:rsid w:val="00E64378"/>
    <w:rsid w:val="00E64594"/>
    <w:rsid w:val="00E64CBC"/>
    <w:rsid w:val="00E64FC0"/>
    <w:rsid w:val="00E6627B"/>
    <w:rsid w:val="00E6724C"/>
    <w:rsid w:val="00E7001B"/>
    <w:rsid w:val="00E71290"/>
    <w:rsid w:val="00E72773"/>
    <w:rsid w:val="00E72928"/>
    <w:rsid w:val="00E72A03"/>
    <w:rsid w:val="00E72AB6"/>
    <w:rsid w:val="00E7342E"/>
    <w:rsid w:val="00E73483"/>
    <w:rsid w:val="00E7473D"/>
    <w:rsid w:val="00E7495F"/>
    <w:rsid w:val="00E74CC1"/>
    <w:rsid w:val="00E74DE1"/>
    <w:rsid w:val="00E75AA8"/>
    <w:rsid w:val="00E75E84"/>
    <w:rsid w:val="00E760CD"/>
    <w:rsid w:val="00E77CA8"/>
    <w:rsid w:val="00E81E62"/>
    <w:rsid w:val="00E831B4"/>
    <w:rsid w:val="00E83D41"/>
    <w:rsid w:val="00E83E91"/>
    <w:rsid w:val="00E84109"/>
    <w:rsid w:val="00E8453C"/>
    <w:rsid w:val="00E84794"/>
    <w:rsid w:val="00E851A0"/>
    <w:rsid w:val="00E87334"/>
    <w:rsid w:val="00E9073F"/>
    <w:rsid w:val="00E92DD9"/>
    <w:rsid w:val="00E936DA"/>
    <w:rsid w:val="00E94DBB"/>
    <w:rsid w:val="00E94F5C"/>
    <w:rsid w:val="00E95E5F"/>
    <w:rsid w:val="00E97E6D"/>
    <w:rsid w:val="00EA00E8"/>
    <w:rsid w:val="00EA0E44"/>
    <w:rsid w:val="00EA18C8"/>
    <w:rsid w:val="00EA1F96"/>
    <w:rsid w:val="00EA2267"/>
    <w:rsid w:val="00EA32B7"/>
    <w:rsid w:val="00EA33A9"/>
    <w:rsid w:val="00EA3472"/>
    <w:rsid w:val="00EA369F"/>
    <w:rsid w:val="00EA3AE0"/>
    <w:rsid w:val="00EA4ED1"/>
    <w:rsid w:val="00EA53DF"/>
    <w:rsid w:val="00EA561B"/>
    <w:rsid w:val="00EA5D73"/>
    <w:rsid w:val="00EA70C3"/>
    <w:rsid w:val="00EB05AD"/>
    <w:rsid w:val="00EB1344"/>
    <w:rsid w:val="00EB19F9"/>
    <w:rsid w:val="00EB1B5F"/>
    <w:rsid w:val="00EB1D87"/>
    <w:rsid w:val="00EB1FE3"/>
    <w:rsid w:val="00EB2072"/>
    <w:rsid w:val="00EB3B38"/>
    <w:rsid w:val="00EB3BC3"/>
    <w:rsid w:val="00EB4A8B"/>
    <w:rsid w:val="00EB4C1A"/>
    <w:rsid w:val="00EB5054"/>
    <w:rsid w:val="00EB5906"/>
    <w:rsid w:val="00EB5A58"/>
    <w:rsid w:val="00EB6495"/>
    <w:rsid w:val="00EC090F"/>
    <w:rsid w:val="00EC0A72"/>
    <w:rsid w:val="00EC21E4"/>
    <w:rsid w:val="00EC21F5"/>
    <w:rsid w:val="00EC29C9"/>
    <w:rsid w:val="00EC5235"/>
    <w:rsid w:val="00EC5CA6"/>
    <w:rsid w:val="00EC5F4E"/>
    <w:rsid w:val="00EC6212"/>
    <w:rsid w:val="00EC6D9F"/>
    <w:rsid w:val="00EC6E0B"/>
    <w:rsid w:val="00EC79CD"/>
    <w:rsid w:val="00ED19DD"/>
    <w:rsid w:val="00ED21EC"/>
    <w:rsid w:val="00ED29C4"/>
    <w:rsid w:val="00ED328D"/>
    <w:rsid w:val="00ED336C"/>
    <w:rsid w:val="00ED4EE3"/>
    <w:rsid w:val="00ED4F03"/>
    <w:rsid w:val="00ED68B8"/>
    <w:rsid w:val="00EE0440"/>
    <w:rsid w:val="00EE0D94"/>
    <w:rsid w:val="00EE176B"/>
    <w:rsid w:val="00EE2C04"/>
    <w:rsid w:val="00EE587A"/>
    <w:rsid w:val="00EE627F"/>
    <w:rsid w:val="00EE6D3D"/>
    <w:rsid w:val="00EE7C15"/>
    <w:rsid w:val="00EF055A"/>
    <w:rsid w:val="00EF07E1"/>
    <w:rsid w:val="00EF1042"/>
    <w:rsid w:val="00EF1887"/>
    <w:rsid w:val="00EF274F"/>
    <w:rsid w:val="00EF44F2"/>
    <w:rsid w:val="00EF52A9"/>
    <w:rsid w:val="00EF6A94"/>
    <w:rsid w:val="00EF6EB2"/>
    <w:rsid w:val="00EF7432"/>
    <w:rsid w:val="00F0020F"/>
    <w:rsid w:val="00F01715"/>
    <w:rsid w:val="00F02062"/>
    <w:rsid w:val="00F02495"/>
    <w:rsid w:val="00F02F1A"/>
    <w:rsid w:val="00F045E9"/>
    <w:rsid w:val="00F058EC"/>
    <w:rsid w:val="00F060DF"/>
    <w:rsid w:val="00F074F1"/>
    <w:rsid w:val="00F100FF"/>
    <w:rsid w:val="00F10D21"/>
    <w:rsid w:val="00F10EDB"/>
    <w:rsid w:val="00F11802"/>
    <w:rsid w:val="00F12061"/>
    <w:rsid w:val="00F13032"/>
    <w:rsid w:val="00F1330D"/>
    <w:rsid w:val="00F14165"/>
    <w:rsid w:val="00F14897"/>
    <w:rsid w:val="00F1615C"/>
    <w:rsid w:val="00F165B8"/>
    <w:rsid w:val="00F16AA8"/>
    <w:rsid w:val="00F20063"/>
    <w:rsid w:val="00F221C4"/>
    <w:rsid w:val="00F228E0"/>
    <w:rsid w:val="00F22EFD"/>
    <w:rsid w:val="00F231C8"/>
    <w:rsid w:val="00F23714"/>
    <w:rsid w:val="00F2416C"/>
    <w:rsid w:val="00F25B93"/>
    <w:rsid w:val="00F265B6"/>
    <w:rsid w:val="00F27512"/>
    <w:rsid w:val="00F30785"/>
    <w:rsid w:val="00F30CA6"/>
    <w:rsid w:val="00F311B2"/>
    <w:rsid w:val="00F32516"/>
    <w:rsid w:val="00F34288"/>
    <w:rsid w:val="00F3467D"/>
    <w:rsid w:val="00F34794"/>
    <w:rsid w:val="00F34AD2"/>
    <w:rsid w:val="00F35AF7"/>
    <w:rsid w:val="00F36779"/>
    <w:rsid w:val="00F40578"/>
    <w:rsid w:val="00F40708"/>
    <w:rsid w:val="00F40DDE"/>
    <w:rsid w:val="00F4108A"/>
    <w:rsid w:val="00F41EFB"/>
    <w:rsid w:val="00F438DD"/>
    <w:rsid w:val="00F45467"/>
    <w:rsid w:val="00F45C27"/>
    <w:rsid w:val="00F45CA2"/>
    <w:rsid w:val="00F462CE"/>
    <w:rsid w:val="00F46F1B"/>
    <w:rsid w:val="00F46FAB"/>
    <w:rsid w:val="00F50A8A"/>
    <w:rsid w:val="00F51227"/>
    <w:rsid w:val="00F51C5B"/>
    <w:rsid w:val="00F52DBB"/>
    <w:rsid w:val="00F53466"/>
    <w:rsid w:val="00F53B70"/>
    <w:rsid w:val="00F5500F"/>
    <w:rsid w:val="00F55EC1"/>
    <w:rsid w:val="00F562A9"/>
    <w:rsid w:val="00F60A08"/>
    <w:rsid w:val="00F6109E"/>
    <w:rsid w:val="00F624CB"/>
    <w:rsid w:val="00F6253E"/>
    <w:rsid w:val="00F62BBC"/>
    <w:rsid w:val="00F632D2"/>
    <w:rsid w:val="00F640AC"/>
    <w:rsid w:val="00F64712"/>
    <w:rsid w:val="00F648C0"/>
    <w:rsid w:val="00F64D4B"/>
    <w:rsid w:val="00F65D64"/>
    <w:rsid w:val="00F67D54"/>
    <w:rsid w:val="00F70000"/>
    <w:rsid w:val="00F708C2"/>
    <w:rsid w:val="00F71A1C"/>
    <w:rsid w:val="00F73E3C"/>
    <w:rsid w:val="00F74B0E"/>
    <w:rsid w:val="00F80256"/>
    <w:rsid w:val="00F808EC"/>
    <w:rsid w:val="00F80A21"/>
    <w:rsid w:val="00F81BBC"/>
    <w:rsid w:val="00F82117"/>
    <w:rsid w:val="00F838C2"/>
    <w:rsid w:val="00F8669A"/>
    <w:rsid w:val="00F867A3"/>
    <w:rsid w:val="00F8705C"/>
    <w:rsid w:val="00F87080"/>
    <w:rsid w:val="00F87AE1"/>
    <w:rsid w:val="00F87C0A"/>
    <w:rsid w:val="00F87FA2"/>
    <w:rsid w:val="00F903CE"/>
    <w:rsid w:val="00F90C23"/>
    <w:rsid w:val="00F912F9"/>
    <w:rsid w:val="00F917DF"/>
    <w:rsid w:val="00F91F1C"/>
    <w:rsid w:val="00F932EE"/>
    <w:rsid w:val="00F937E6"/>
    <w:rsid w:val="00F94286"/>
    <w:rsid w:val="00F94554"/>
    <w:rsid w:val="00F94F2E"/>
    <w:rsid w:val="00F9506F"/>
    <w:rsid w:val="00F95A54"/>
    <w:rsid w:val="00F95FDD"/>
    <w:rsid w:val="00F963C7"/>
    <w:rsid w:val="00F96529"/>
    <w:rsid w:val="00F9716D"/>
    <w:rsid w:val="00F9732C"/>
    <w:rsid w:val="00FA0F1B"/>
    <w:rsid w:val="00FA2307"/>
    <w:rsid w:val="00FA482E"/>
    <w:rsid w:val="00FA510A"/>
    <w:rsid w:val="00FA5EF1"/>
    <w:rsid w:val="00FA7500"/>
    <w:rsid w:val="00FA78B4"/>
    <w:rsid w:val="00FB0CEC"/>
    <w:rsid w:val="00FB0E2D"/>
    <w:rsid w:val="00FB385E"/>
    <w:rsid w:val="00FB3CE2"/>
    <w:rsid w:val="00FB3FCA"/>
    <w:rsid w:val="00FB4C31"/>
    <w:rsid w:val="00FB63D9"/>
    <w:rsid w:val="00FC19FB"/>
    <w:rsid w:val="00FC4352"/>
    <w:rsid w:val="00FC5B46"/>
    <w:rsid w:val="00FC6D7B"/>
    <w:rsid w:val="00FC7B36"/>
    <w:rsid w:val="00FC7D14"/>
    <w:rsid w:val="00FD17BA"/>
    <w:rsid w:val="00FD314A"/>
    <w:rsid w:val="00FD3ACA"/>
    <w:rsid w:val="00FD3E91"/>
    <w:rsid w:val="00FD5906"/>
    <w:rsid w:val="00FD5CEA"/>
    <w:rsid w:val="00FD6519"/>
    <w:rsid w:val="00FD7B2A"/>
    <w:rsid w:val="00FD7EBA"/>
    <w:rsid w:val="00FE0D5E"/>
    <w:rsid w:val="00FE0DC4"/>
    <w:rsid w:val="00FE1840"/>
    <w:rsid w:val="00FE1C76"/>
    <w:rsid w:val="00FE1DC6"/>
    <w:rsid w:val="00FE24C4"/>
    <w:rsid w:val="00FE24CE"/>
    <w:rsid w:val="00FE52E1"/>
    <w:rsid w:val="00FE56D1"/>
    <w:rsid w:val="00FE628B"/>
    <w:rsid w:val="00FE702F"/>
    <w:rsid w:val="00FF0BC8"/>
    <w:rsid w:val="00FF1641"/>
    <w:rsid w:val="00FF2F94"/>
    <w:rsid w:val="00FF31DB"/>
    <w:rsid w:val="00FF351A"/>
    <w:rsid w:val="00FF3E57"/>
    <w:rsid w:val="00FF4DEB"/>
    <w:rsid w:val="00FF52DA"/>
    <w:rsid w:val="00FF5ACA"/>
    <w:rsid w:val="00FF600C"/>
    <w:rsid w:val="0237DBE1"/>
    <w:rsid w:val="03C8BFC7"/>
    <w:rsid w:val="051AF915"/>
    <w:rsid w:val="06740A28"/>
    <w:rsid w:val="083D6B87"/>
    <w:rsid w:val="087B0C68"/>
    <w:rsid w:val="09A6F91F"/>
    <w:rsid w:val="0A725191"/>
    <w:rsid w:val="0AF795E7"/>
    <w:rsid w:val="0BB0A80F"/>
    <w:rsid w:val="0CD320FB"/>
    <w:rsid w:val="0CFFD865"/>
    <w:rsid w:val="0D579DC2"/>
    <w:rsid w:val="0E6E517B"/>
    <w:rsid w:val="0F77F5F7"/>
    <w:rsid w:val="0F8A485C"/>
    <w:rsid w:val="10D011F7"/>
    <w:rsid w:val="14F18B5B"/>
    <w:rsid w:val="155BC380"/>
    <w:rsid w:val="15926C87"/>
    <w:rsid w:val="15B349BE"/>
    <w:rsid w:val="15B66E8A"/>
    <w:rsid w:val="163C80EF"/>
    <w:rsid w:val="166905FD"/>
    <w:rsid w:val="17FCCF5C"/>
    <w:rsid w:val="18273305"/>
    <w:rsid w:val="188588C2"/>
    <w:rsid w:val="19209DC3"/>
    <w:rsid w:val="1ABA2ACF"/>
    <w:rsid w:val="1B02300F"/>
    <w:rsid w:val="1B60CCDF"/>
    <w:rsid w:val="1B94F2A0"/>
    <w:rsid w:val="1CAB9679"/>
    <w:rsid w:val="1D1BC482"/>
    <w:rsid w:val="1E8EBFB0"/>
    <w:rsid w:val="1E96E775"/>
    <w:rsid w:val="1EA4C948"/>
    <w:rsid w:val="1F47F3FA"/>
    <w:rsid w:val="1F4EFA4D"/>
    <w:rsid w:val="1FB8A409"/>
    <w:rsid w:val="1FCB04F2"/>
    <w:rsid w:val="1FFF2BBC"/>
    <w:rsid w:val="20540101"/>
    <w:rsid w:val="2117A663"/>
    <w:rsid w:val="219AFC1D"/>
    <w:rsid w:val="2271B3DD"/>
    <w:rsid w:val="231FFF58"/>
    <w:rsid w:val="2423C042"/>
    <w:rsid w:val="24505278"/>
    <w:rsid w:val="245A9996"/>
    <w:rsid w:val="269244AF"/>
    <w:rsid w:val="26CA0EF1"/>
    <w:rsid w:val="2859E882"/>
    <w:rsid w:val="28DBAC75"/>
    <w:rsid w:val="29E4E031"/>
    <w:rsid w:val="2A1C729F"/>
    <w:rsid w:val="2BC4118C"/>
    <w:rsid w:val="2BDD66AF"/>
    <w:rsid w:val="2C1C1600"/>
    <w:rsid w:val="2C2D4764"/>
    <w:rsid w:val="2C89DADE"/>
    <w:rsid w:val="2DC06249"/>
    <w:rsid w:val="2F892C01"/>
    <w:rsid w:val="2F913D18"/>
    <w:rsid w:val="32F0D4E9"/>
    <w:rsid w:val="333B87A2"/>
    <w:rsid w:val="34702DDB"/>
    <w:rsid w:val="347BC466"/>
    <w:rsid w:val="347C7CEC"/>
    <w:rsid w:val="349BC5BA"/>
    <w:rsid w:val="351DD2EF"/>
    <w:rsid w:val="35EF9246"/>
    <w:rsid w:val="35F86D85"/>
    <w:rsid w:val="36612210"/>
    <w:rsid w:val="3701D970"/>
    <w:rsid w:val="3808ED21"/>
    <w:rsid w:val="3B9A6502"/>
    <w:rsid w:val="3BEC22A5"/>
    <w:rsid w:val="3C25FD20"/>
    <w:rsid w:val="3D1C18A9"/>
    <w:rsid w:val="3D5C04FD"/>
    <w:rsid w:val="3DF5F04D"/>
    <w:rsid w:val="3DFFEE78"/>
    <w:rsid w:val="3F19C39E"/>
    <w:rsid w:val="3F294578"/>
    <w:rsid w:val="4006A295"/>
    <w:rsid w:val="40690ADD"/>
    <w:rsid w:val="4129E555"/>
    <w:rsid w:val="41489536"/>
    <w:rsid w:val="427DC611"/>
    <w:rsid w:val="428CA4E1"/>
    <w:rsid w:val="43B03D50"/>
    <w:rsid w:val="4453FA67"/>
    <w:rsid w:val="45157D1A"/>
    <w:rsid w:val="45A5070E"/>
    <w:rsid w:val="46DED6E2"/>
    <w:rsid w:val="4820F6FE"/>
    <w:rsid w:val="482B744F"/>
    <w:rsid w:val="48B9C1E8"/>
    <w:rsid w:val="48EB3ACC"/>
    <w:rsid w:val="4A9C6A4D"/>
    <w:rsid w:val="4A9EE9EE"/>
    <w:rsid w:val="4AA83CFC"/>
    <w:rsid w:val="4B05C31D"/>
    <w:rsid w:val="4B24C5BC"/>
    <w:rsid w:val="4B2FE1B7"/>
    <w:rsid w:val="4B4DACA4"/>
    <w:rsid w:val="4D61E032"/>
    <w:rsid w:val="4DDF7455"/>
    <w:rsid w:val="4F01BA1C"/>
    <w:rsid w:val="4F4A0912"/>
    <w:rsid w:val="4FBD611B"/>
    <w:rsid w:val="500AEBA7"/>
    <w:rsid w:val="5159317C"/>
    <w:rsid w:val="51C93AA5"/>
    <w:rsid w:val="5562790A"/>
    <w:rsid w:val="557C413E"/>
    <w:rsid w:val="55982EEF"/>
    <w:rsid w:val="56D9501A"/>
    <w:rsid w:val="57073D35"/>
    <w:rsid w:val="58009D39"/>
    <w:rsid w:val="5837490D"/>
    <w:rsid w:val="586E6ECA"/>
    <w:rsid w:val="58FA143D"/>
    <w:rsid w:val="594B1B04"/>
    <w:rsid w:val="597589B3"/>
    <w:rsid w:val="59AA190A"/>
    <w:rsid w:val="59C77537"/>
    <w:rsid w:val="5C095741"/>
    <w:rsid w:val="5C96A5B7"/>
    <w:rsid w:val="5CABB707"/>
    <w:rsid w:val="5D5D565C"/>
    <w:rsid w:val="5DAA0F9E"/>
    <w:rsid w:val="5E27FD13"/>
    <w:rsid w:val="5E37B484"/>
    <w:rsid w:val="5E5780A9"/>
    <w:rsid w:val="5F11BA00"/>
    <w:rsid w:val="5F124F1A"/>
    <w:rsid w:val="5FD384E5"/>
    <w:rsid w:val="6073BDCB"/>
    <w:rsid w:val="60A631F5"/>
    <w:rsid w:val="60AE1F7B"/>
    <w:rsid w:val="61B31C6B"/>
    <w:rsid w:val="61C1BB73"/>
    <w:rsid w:val="62C4AABB"/>
    <w:rsid w:val="63CC97E0"/>
    <w:rsid w:val="6495F1C3"/>
    <w:rsid w:val="65F067E5"/>
    <w:rsid w:val="66AE39AD"/>
    <w:rsid w:val="673C8841"/>
    <w:rsid w:val="68B143DA"/>
    <w:rsid w:val="69C4AE12"/>
    <w:rsid w:val="6A894E0E"/>
    <w:rsid w:val="6AD1BF73"/>
    <w:rsid w:val="6B85463F"/>
    <w:rsid w:val="6BF0D222"/>
    <w:rsid w:val="6C6BBAD0"/>
    <w:rsid w:val="6ED3700E"/>
    <w:rsid w:val="6F2872E4"/>
    <w:rsid w:val="6F6412F1"/>
    <w:rsid w:val="7071FBD9"/>
    <w:rsid w:val="7074C6EC"/>
    <w:rsid w:val="70AB1AE8"/>
    <w:rsid w:val="70B3086E"/>
    <w:rsid w:val="70C44345"/>
    <w:rsid w:val="711B0C83"/>
    <w:rsid w:val="7216E976"/>
    <w:rsid w:val="7220CF22"/>
    <w:rsid w:val="73FBE407"/>
    <w:rsid w:val="74189A3B"/>
    <w:rsid w:val="75791B20"/>
    <w:rsid w:val="759DCFE9"/>
    <w:rsid w:val="76CA4AED"/>
    <w:rsid w:val="7742FEC0"/>
    <w:rsid w:val="77D419ED"/>
    <w:rsid w:val="77FA4856"/>
    <w:rsid w:val="78089F53"/>
    <w:rsid w:val="788180F7"/>
    <w:rsid w:val="78B62CCD"/>
    <w:rsid w:val="79778830"/>
    <w:rsid w:val="7978840C"/>
    <w:rsid w:val="7A2F26E0"/>
    <w:rsid w:val="7A3A8C28"/>
    <w:rsid w:val="7A59EAB4"/>
    <w:rsid w:val="7B03D397"/>
    <w:rsid w:val="7B43DB52"/>
    <w:rsid w:val="7B84DAC6"/>
    <w:rsid w:val="7BAC0961"/>
    <w:rsid w:val="7C3E15D3"/>
    <w:rsid w:val="7D899DF0"/>
    <w:rsid w:val="7DBC90BA"/>
    <w:rsid w:val="7E549648"/>
    <w:rsid w:val="7F88E6C6"/>
    <w:rsid w:val="7FD39A47"/>
    <w:rsid w:val="7FF2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755D"/>
  <w15:chartTrackingRefBased/>
  <w15:docId w15:val="{CF419A93-9A2E-46BD-A474-9480D05B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0706C"/>
    <w:rPr>
      <w:rFonts w:ascii="Consolas" w:hAnsi="Consolas"/>
      <w:sz w:val="21"/>
      <w:szCs w:val="21"/>
    </w:rPr>
  </w:style>
  <w:style w:type="character" w:customStyle="1" w:styleId="PlainTextChar">
    <w:name w:val="Plain Text Char"/>
    <w:basedOn w:val="DefaultParagraphFont"/>
    <w:link w:val="PlainText"/>
    <w:uiPriority w:val="99"/>
    <w:semiHidden/>
    <w:rsid w:val="00D0706C"/>
    <w:rPr>
      <w:rFonts w:ascii="Consolas" w:hAnsi="Consolas"/>
      <w:sz w:val="21"/>
      <w:szCs w:val="21"/>
    </w:rPr>
  </w:style>
  <w:style w:type="paragraph" w:styleId="FootnoteText">
    <w:name w:val="footnote text"/>
    <w:basedOn w:val="Normal"/>
    <w:link w:val="FootnoteTextChar"/>
    <w:uiPriority w:val="99"/>
    <w:semiHidden/>
    <w:unhideWhenUsed/>
    <w:rsid w:val="00D0706C"/>
    <w:rPr>
      <w:sz w:val="20"/>
      <w:szCs w:val="20"/>
    </w:rPr>
  </w:style>
  <w:style w:type="character" w:customStyle="1" w:styleId="FootnoteTextChar">
    <w:name w:val="Footnote Text Char"/>
    <w:basedOn w:val="DefaultParagraphFont"/>
    <w:link w:val="FootnoteText"/>
    <w:uiPriority w:val="99"/>
    <w:semiHidden/>
    <w:rsid w:val="00D0706C"/>
    <w:rPr>
      <w:sz w:val="20"/>
      <w:szCs w:val="20"/>
    </w:rPr>
  </w:style>
  <w:style w:type="table" w:styleId="TableGrid">
    <w:name w:val="Table Grid"/>
    <w:basedOn w:val="TableNormal"/>
    <w:uiPriority w:val="39"/>
    <w:rsid w:val="00D07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D0706C"/>
    <w:rPr>
      <w:vertAlign w:val="superscript"/>
    </w:rPr>
  </w:style>
  <w:style w:type="paragraph" w:customStyle="1" w:styleId="footnotedescription">
    <w:name w:val="footnote description"/>
    <w:next w:val="Normal"/>
    <w:link w:val="footnotedescriptionChar"/>
    <w:hidden/>
    <w:rsid w:val="00161B49"/>
    <w:pPr>
      <w:spacing w:line="259" w:lineRule="auto"/>
      <w:ind w:left="1"/>
    </w:pPr>
    <w:rPr>
      <w:rFonts w:ascii="Cambria" w:eastAsia="Cambria" w:hAnsi="Cambria" w:cs="Cambria"/>
      <w:color w:val="000000"/>
      <w:sz w:val="16"/>
    </w:rPr>
  </w:style>
  <w:style w:type="character" w:customStyle="1" w:styleId="footnotedescriptionChar">
    <w:name w:val="footnote description Char"/>
    <w:link w:val="footnotedescription"/>
    <w:rsid w:val="00161B49"/>
    <w:rPr>
      <w:rFonts w:ascii="Cambria" w:eastAsia="Cambria" w:hAnsi="Cambria" w:cs="Cambria"/>
      <w:color w:val="000000"/>
      <w:sz w:val="16"/>
    </w:rPr>
  </w:style>
  <w:style w:type="table" w:customStyle="1" w:styleId="TableGrid1">
    <w:name w:val="Table Grid1"/>
    <w:uiPriority w:val="39"/>
    <w:rsid w:val="00161B49"/>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A5608"/>
    <w:pPr>
      <w:ind w:left="720"/>
      <w:contextualSpacing/>
    </w:pPr>
  </w:style>
  <w:style w:type="paragraph" w:customStyle="1" w:styleId="xmsonormal">
    <w:name w:val="x_msonormal"/>
    <w:basedOn w:val="Normal"/>
    <w:rsid w:val="00306ED9"/>
    <w:rPr>
      <w:rFonts w:ascii="Calibri" w:hAnsi="Calibri" w:cs="Calibri"/>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C2BAA"/>
    <w:pPr>
      <w:tabs>
        <w:tab w:val="center" w:pos="4680"/>
        <w:tab w:val="right" w:pos="9360"/>
      </w:tabs>
    </w:pPr>
  </w:style>
  <w:style w:type="character" w:customStyle="1" w:styleId="HeaderChar">
    <w:name w:val="Header Char"/>
    <w:basedOn w:val="DefaultParagraphFont"/>
    <w:link w:val="Header"/>
    <w:uiPriority w:val="99"/>
    <w:rsid w:val="005C2BAA"/>
  </w:style>
  <w:style w:type="paragraph" w:styleId="Footer">
    <w:name w:val="footer"/>
    <w:basedOn w:val="Normal"/>
    <w:link w:val="FooterChar"/>
    <w:uiPriority w:val="99"/>
    <w:unhideWhenUsed/>
    <w:rsid w:val="005C2BAA"/>
    <w:pPr>
      <w:tabs>
        <w:tab w:val="center" w:pos="4680"/>
        <w:tab w:val="right" w:pos="9360"/>
      </w:tabs>
    </w:pPr>
  </w:style>
  <w:style w:type="character" w:customStyle="1" w:styleId="FooterChar">
    <w:name w:val="Footer Char"/>
    <w:basedOn w:val="DefaultParagraphFont"/>
    <w:link w:val="Footer"/>
    <w:uiPriority w:val="99"/>
    <w:rsid w:val="005C2BAA"/>
  </w:style>
  <w:style w:type="character" w:styleId="CommentReference">
    <w:name w:val="annotation reference"/>
    <w:basedOn w:val="DefaultParagraphFont"/>
    <w:uiPriority w:val="99"/>
    <w:semiHidden/>
    <w:unhideWhenUsed/>
    <w:rsid w:val="00C92193"/>
    <w:rPr>
      <w:sz w:val="16"/>
      <w:szCs w:val="16"/>
    </w:rPr>
  </w:style>
  <w:style w:type="paragraph" w:styleId="CommentText">
    <w:name w:val="annotation text"/>
    <w:basedOn w:val="Normal"/>
    <w:link w:val="CommentTextChar"/>
    <w:uiPriority w:val="99"/>
    <w:unhideWhenUsed/>
    <w:rsid w:val="00C92193"/>
    <w:rPr>
      <w:sz w:val="20"/>
      <w:szCs w:val="20"/>
    </w:rPr>
  </w:style>
  <w:style w:type="character" w:customStyle="1" w:styleId="CommentTextChar">
    <w:name w:val="Comment Text Char"/>
    <w:basedOn w:val="DefaultParagraphFont"/>
    <w:link w:val="CommentText"/>
    <w:uiPriority w:val="99"/>
    <w:rsid w:val="00C92193"/>
    <w:rPr>
      <w:sz w:val="20"/>
      <w:szCs w:val="20"/>
    </w:rPr>
  </w:style>
  <w:style w:type="paragraph" w:styleId="CommentSubject">
    <w:name w:val="annotation subject"/>
    <w:basedOn w:val="CommentText"/>
    <w:next w:val="CommentText"/>
    <w:link w:val="CommentSubjectChar"/>
    <w:uiPriority w:val="99"/>
    <w:semiHidden/>
    <w:unhideWhenUsed/>
    <w:rsid w:val="00C92193"/>
    <w:rPr>
      <w:b/>
      <w:bCs/>
    </w:rPr>
  </w:style>
  <w:style w:type="character" w:customStyle="1" w:styleId="CommentSubjectChar">
    <w:name w:val="Comment Subject Char"/>
    <w:basedOn w:val="CommentTextChar"/>
    <w:link w:val="CommentSubject"/>
    <w:uiPriority w:val="99"/>
    <w:semiHidden/>
    <w:rsid w:val="00C92193"/>
    <w:rPr>
      <w:b/>
      <w:bCs/>
      <w:sz w:val="20"/>
      <w:szCs w:val="20"/>
    </w:rPr>
  </w:style>
  <w:style w:type="character" w:styleId="UnresolvedMention">
    <w:name w:val="Unresolved Mention"/>
    <w:basedOn w:val="DefaultParagraphFont"/>
    <w:uiPriority w:val="99"/>
    <w:semiHidden/>
    <w:unhideWhenUsed/>
    <w:rsid w:val="003B1798"/>
    <w:rPr>
      <w:color w:val="605E5C"/>
      <w:shd w:val="clear" w:color="auto" w:fill="E1DFDD"/>
    </w:rPr>
  </w:style>
  <w:style w:type="character" w:styleId="FollowedHyperlink">
    <w:name w:val="FollowedHyperlink"/>
    <w:basedOn w:val="DefaultParagraphFont"/>
    <w:uiPriority w:val="99"/>
    <w:semiHidden/>
    <w:unhideWhenUsed/>
    <w:rsid w:val="0088414F"/>
    <w:rPr>
      <w:color w:val="954F72" w:themeColor="followedHyperlink"/>
      <w:u w:val="single"/>
    </w:rPr>
  </w:style>
  <w:style w:type="paragraph" w:styleId="Revision">
    <w:name w:val="Revision"/>
    <w:hidden/>
    <w:uiPriority w:val="99"/>
    <w:semiHidden/>
    <w:rsid w:val="00F45467"/>
  </w:style>
  <w:style w:type="character" w:customStyle="1" w:styleId="ui-provider">
    <w:name w:val="ui-provider"/>
    <w:basedOn w:val="DefaultParagraphFont"/>
    <w:rsid w:val="00D5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49">
      <w:bodyDiv w:val="1"/>
      <w:marLeft w:val="0"/>
      <w:marRight w:val="0"/>
      <w:marTop w:val="0"/>
      <w:marBottom w:val="0"/>
      <w:divBdr>
        <w:top w:val="none" w:sz="0" w:space="0" w:color="auto"/>
        <w:left w:val="none" w:sz="0" w:space="0" w:color="auto"/>
        <w:bottom w:val="none" w:sz="0" w:space="0" w:color="auto"/>
        <w:right w:val="none" w:sz="0" w:space="0" w:color="auto"/>
      </w:divBdr>
    </w:div>
    <w:div w:id="120997947">
      <w:bodyDiv w:val="1"/>
      <w:marLeft w:val="0"/>
      <w:marRight w:val="0"/>
      <w:marTop w:val="0"/>
      <w:marBottom w:val="0"/>
      <w:divBdr>
        <w:top w:val="none" w:sz="0" w:space="0" w:color="auto"/>
        <w:left w:val="none" w:sz="0" w:space="0" w:color="auto"/>
        <w:bottom w:val="none" w:sz="0" w:space="0" w:color="auto"/>
        <w:right w:val="none" w:sz="0" w:space="0" w:color="auto"/>
      </w:divBdr>
    </w:div>
    <w:div w:id="122503193">
      <w:bodyDiv w:val="1"/>
      <w:marLeft w:val="0"/>
      <w:marRight w:val="0"/>
      <w:marTop w:val="0"/>
      <w:marBottom w:val="0"/>
      <w:divBdr>
        <w:top w:val="none" w:sz="0" w:space="0" w:color="auto"/>
        <w:left w:val="none" w:sz="0" w:space="0" w:color="auto"/>
        <w:bottom w:val="none" w:sz="0" w:space="0" w:color="auto"/>
        <w:right w:val="none" w:sz="0" w:space="0" w:color="auto"/>
      </w:divBdr>
      <w:divsChild>
        <w:div w:id="1493251415">
          <w:marLeft w:val="806"/>
          <w:marRight w:val="0"/>
          <w:marTop w:val="75"/>
          <w:marBottom w:val="150"/>
          <w:divBdr>
            <w:top w:val="none" w:sz="0" w:space="0" w:color="auto"/>
            <w:left w:val="none" w:sz="0" w:space="0" w:color="auto"/>
            <w:bottom w:val="none" w:sz="0" w:space="0" w:color="auto"/>
            <w:right w:val="none" w:sz="0" w:space="0" w:color="auto"/>
          </w:divBdr>
        </w:div>
        <w:div w:id="465247309">
          <w:marLeft w:val="806"/>
          <w:marRight w:val="0"/>
          <w:marTop w:val="75"/>
          <w:marBottom w:val="150"/>
          <w:divBdr>
            <w:top w:val="none" w:sz="0" w:space="0" w:color="auto"/>
            <w:left w:val="none" w:sz="0" w:space="0" w:color="auto"/>
            <w:bottom w:val="none" w:sz="0" w:space="0" w:color="auto"/>
            <w:right w:val="none" w:sz="0" w:space="0" w:color="auto"/>
          </w:divBdr>
        </w:div>
        <w:div w:id="415251022">
          <w:marLeft w:val="806"/>
          <w:marRight w:val="0"/>
          <w:marTop w:val="75"/>
          <w:marBottom w:val="150"/>
          <w:divBdr>
            <w:top w:val="none" w:sz="0" w:space="0" w:color="auto"/>
            <w:left w:val="none" w:sz="0" w:space="0" w:color="auto"/>
            <w:bottom w:val="none" w:sz="0" w:space="0" w:color="auto"/>
            <w:right w:val="none" w:sz="0" w:space="0" w:color="auto"/>
          </w:divBdr>
        </w:div>
        <w:div w:id="1776711538">
          <w:marLeft w:val="1354"/>
          <w:marRight w:val="0"/>
          <w:marTop w:val="75"/>
          <w:marBottom w:val="150"/>
          <w:divBdr>
            <w:top w:val="none" w:sz="0" w:space="0" w:color="auto"/>
            <w:left w:val="none" w:sz="0" w:space="0" w:color="auto"/>
            <w:bottom w:val="none" w:sz="0" w:space="0" w:color="auto"/>
            <w:right w:val="none" w:sz="0" w:space="0" w:color="auto"/>
          </w:divBdr>
        </w:div>
      </w:divsChild>
    </w:div>
    <w:div w:id="163739269">
      <w:bodyDiv w:val="1"/>
      <w:marLeft w:val="0"/>
      <w:marRight w:val="0"/>
      <w:marTop w:val="0"/>
      <w:marBottom w:val="0"/>
      <w:divBdr>
        <w:top w:val="none" w:sz="0" w:space="0" w:color="auto"/>
        <w:left w:val="none" w:sz="0" w:space="0" w:color="auto"/>
        <w:bottom w:val="none" w:sz="0" w:space="0" w:color="auto"/>
        <w:right w:val="none" w:sz="0" w:space="0" w:color="auto"/>
      </w:divBdr>
    </w:div>
    <w:div w:id="200286413">
      <w:bodyDiv w:val="1"/>
      <w:marLeft w:val="0"/>
      <w:marRight w:val="0"/>
      <w:marTop w:val="0"/>
      <w:marBottom w:val="0"/>
      <w:divBdr>
        <w:top w:val="none" w:sz="0" w:space="0" w:color="auto"/>
        <w:left w:val="none" w:sz="0" w:space="0" w:color="auto"/>
        <w:bottom w:val="none" w:sz="0" w:space="0" w:color="auto"/>
        <w:right w:val="none" w:sz="0" w:space="0" w:color="auto"/>
      </w:divBdr>
    </w:div>
    <w:div w:id="347341762">
      <w:bodyDiv w:val="1"/>
      <w:marLeft w:val="0"/>
      <w:marRight w:val="0"/>
      <w:marTop w:val="0"/>
      <w:marBottom w:val="0"/>
      <w:divBdr>
        <w:top w:val="none" w:sz="0" w:space="0" w:color="auto"/>
        <w:left w:val="none" w:sz="0" w:space="0" w:color="auto"/>
        <w:bottom w:val="none" w:sz="0" w:space="0" w:color="auto"/>
        <w:right w:val="none" w:sz="0" w:space="0" w:color="auto"/>
      </w:divBdr>
    </w:div>
    <w:div w:id="449056035">
      <w:bodyDiv w:val="1"/>
      <w:marLeft w:val="0"/>
      <w:marRight w:val="0"/>
      <w:marTop w:val="0"/>
      <w:marBottom w:val="0"/>
      <w:divBdr>
        <w:top w:val="none" w:sz="0" w:space="0" w:color="auto"/>
        <w:left w:val="none" w:sz="0" w:space="0" w:color="auto"/>
        <w:bottom w:val="none" w:sz="0" w:space="0" w:color="auto"/>
        <w:right w:val="none" w:sz="0" w:space="0" w:color="auto"/>
      </w:divBdr>
    </w:div>
    <w:div w:id="502821519">
      <w:bodyDiv w:val="1"/>
      <w:marLeft w:val="0"/>
      <w:marRight w:val="0"/>
      <w:marTop w:val="0"/>
      <w:marBottom w:val="0"/>
      <w:divBdr>
        <w:top w:val="none" w:sz="0" w:space="0" w:color="auto"/>
        <w:left w:val="none" w:sz="0" w:space="0" w:color="auto"/>
        <w:bottom w:val="none" w:sz="0" w:space="0" w:color="auto"/>
        <w:right w:val="none" w:sz="0" w:space="0" w:color="auto"/>
      </w:divBdr>
    </w:div>
    <w:div w:id="575362191">
      <w:bodyDiv w:val="1"/>
      <w:marLeft w:val="0"/>
      <w:marRight w:val="0"/>
      <w:marTop w:val="0"/>
      <w:marBottom w:val="0"/>
      <w:divBdr>
        <w:top w:val="none" w:sz="0" w:space="0" w:color="auto"/>
        <w:left w:val="none" w:sz="0" w:space="0" w:color="auto"/>
        <w:bottom w:val="none" w:sz="0" w:space="0" w:color="auto"/>
        <w:right w:val="none" w:sz="0" w:space="0" w:color="auto"/>
      </w:divBdr>
    </w:div>
    <w:div w:id="779957455">
      <w:bodyDiv w:val="1"/>
      <w:marLeft w:val="0"/>
      <w:marRight w:val="0"/>
      <w:marTop w:val="0"/>
      <w:marBottom w:val="0"/>
      <w:divBdr>
        <w:top w:val="none" w:sz="0" w:space="0" w:color="auto"/>
        <w:left w:val="none" w:sz="0" w:space="0" w:color="auto"/>
        <w:bottom w:val="none" w:sz="0" w:space="0" w:color="auto"/>
        <w:right w:val="none" w:sz="0" w:space="0" w:color="auto"/>
      </w:divBdr>
    </w:div>
    <w:div w:id="855922321">
      <w:bodyDiv w:val="1"/>
      <w:marLeft w:val="0"/>
      <w:marRight w:val="0"/>
      <w:marTop w:val="0"/>
      <w:marBottom w:val="0"/>
      <w:divBdr>
        <w:top w:val="none" w:sz="0" w:space="0" w:color="auto"/>
        <w:left w:val="none" w:sz="0" w:space="0" w:color="auto"/>
        <w:bottom w:val="none" w:sz="0" w:space="0" w:color="auto"/>
        <w:right w:val="none" w:sz="0" w:space="0" w:color="auto"/>
      </w:divBdr>
    </w:div>
    <w:div w:id="940837530">
      <w:bodyDiv w:val="1"/>
      <w:marLeft w:val="0"/>
      <w:marRight w:val="0"/>
      <w:marTop w:val="0"/>
      <w:marBottom w:val="0"/>
      <w:divBdr>
        <w:top w:val="none" w:sz="0" w:space="0" w:color="auto"/>
        <w:left w:val="none" w:sz="0" w:space="0" w:color="auto"/>
        <w:bottom w:val="none" w:sz="0" w:space="0" w:color="auto"/>
        <w:right w:val="none" w:sz="0" w:space="0" w:color="auto"/>
      </w:divBdr>
    </w:div>
    <w:div w:id="954749687">
      <w:bodyDiv w:val="1"/>
      <w:marLeft w:val="0"/>
      <w:marRight w:val="0"/>
      <w:marTop w:val="0"/>
      <w:marBottom w:val="0"/>
      <w:divBdr>
        <w:top w:val="none" w:sz="0" w:space="0" w:color="auto"/>
        <w:left w:val="none" w:sz="0" w:space="0" w:color="auto"/>
        <w:bottom w:val="none" w:sz="0" w:space="0" w:color="auto"/>
        <w:right w:val="none" w:sz="0" w:space="0" w:color="auto"/>
      </w:divBdr>
    </w:div>
    <w:div w:id="1146818623">
      <w:bodyDiv w:val="1"/>
      <w:marLeft w:val="0"/>
      <w:marRight w:val="0"/>
      <w:marTop w:val="0"/>
      <w:marBottom w:val="0"/>
      <w:divBdr>
        <w:top w:val="none" w:sz="0" w:space="0" w:color="auto"/>
        <w:left w:val="none" w:sz="0" w:space="0" w:color="auto"/>
        <w:bottom w:val="none" w:sz="0" w:space="0" w:color="auto"/>
        <w:right w:val="none" w:sz="0" w:space="0" w:color="auto"/>
      </w:divBdr>
    </w:div>
    <w:div w:id="1183738915">
      <w:bodyDiv w:val="1"/>
      <w:marLeft w:val="0"/>
      <w:marRight w:val="0"/>
      <w:marTop w:val="0"/>
      <w:marBottom w:val="0"/>
      <w:divBdr>
        <w:top w:val="none" w:sz="0" w:space="0" w:color="auto"/>
        <w:left w:val="none" w:sz="0" w:space="0" w:color="auto"/>
        <w:bottom w:val="none" w:sz="0" w:space="0" w:color="auto"/>
        <w:right w:val="none" w:sz="0" w:space="0" w:color="auto"/>
      </w:divBdr>
    </w:div>
    <w:div w:id="1334650760">
      <w:bodyDiv w:val="1"/>
      <w:marLeft w:val="0"/>
      <w:marRight w:val="0"/>
      <w:marTop w:val="0"/>
      <w:marBottom w:val="0"/>
      <w:divBdr>
        <w:top w:val="none" w:sz="0" w:space="0" w:color="auto"/>
        <w:left w:val="none" w:sz="0" w:space="0" w:color="auto"/>
        <w:bottom w:val="none" w:sz="0" w:space="0" w:color="auto"/>
        <w:right w:val="none" w:sz="0" w:space="0" w:color="auto"/>
      </w:divBdr>
    </w:div>
    <w:div w:id="1341619309">
      <w:bodyDiv w:val="1"/>
      <w:marLeft w:val="0"/>
      <w:marRight w:val="0"/>
      <w:marTop w:val="0"/>
      <w:marBottom w:val="0"/>
      <w:divBdr>
        <w:top w:val="none" w:sz="0" w:space="0" w:color="auto"/>
        <w:left w:val="none" w:sz="0" w:space="0" w:color="auto"/>
        <w:bottom w:val="none" w:sz="0" w:space="0" w:color="auto"/>
        <w:right w:val="none" w:sz="0" w:space="0" w:color="auto"/>
      </w:divBdr>
    </w:div>
    <w:div w:id="1359745091">
      <w:bodyDiv w:val="1"/>
      <w:marLeft w:val="0"/>
      <w:marRight w:val="0"/>
      <w:marTop w:val="0"/>
      <w:marBottom w:val="0"/>
      <w:divBdr>
        <w:top w:val="none" w:sz="0" w:space="0" w:color="auto"/>
        <w:left w:val="none" w:sz="0" w:space="0" w:color="auto"/>
        <w:bottom w:val="none" w:sz="0" w:space="0" w:color="auto"/>
        <w:right w:val="none" w:sz="0" w:space="0" w:color="auto"/>
      </w:divBdr>
    </w:div>
    <w:div w:id="1455102417">
      <w:bodyDiv w:val="1"/>
      <w:marLeft w:val="0"/>
      <w:marRight w:val="0"/>
      <w:marTop w:val="0"/>
      <w:marBottom w:val="0"/>
      <w:divBdr>
        <w:top w:val="none" w:sz="0" w:space="0" w:color="auto"/>
        <w:left w:val="none" w:sz="0" w:space="0" w:color="auto"/>
        <w:bottom w:val="none" w:sz="0" w:space="0" w:color="auto"/>
        <w:right w:val="none" w:sz="0" w:space="0" w:color="auto"/>
      </w:divBdr>
    </w:div>
    <w:div w:id="1632444756">
      <w:bodyDiv w:val="1"/>
      <w:marLeft w:val="0"/>
      <w:marRight w:val="0"/>
      <w:marTop w:val="0"/>
      <w:marBottom w:val="0"/>
      <w:divBdr>
        <w:top w:val="none" w:sz="0" w:space="0" w:color="auto"/>
        <w:left w:val="none" w:sz="0" w:space="0" w:color="auto"/>
        <w:bottom w:val="none" w:sz="0" w:space="0" w:color="auto"/>
        <w:right w:val="none" w:sz="0" w:space="0" w:color="auto"/>
      </w:divBdr>
    </w:div>
    <w:div w:id="1764303307">
      <w:bodyDiv w:val="1"/>
      <w:marLeft w:val="0"/>
      <w:marRight w:val="0"/>
      <w:marTop w:val="0"/>
      <w:marBottom w:val="0"/>
      <w:divBdr>
        <w:top w:val="none" w:sz="0" w:space="0" w:color="auto"/>
        <w:left w:val="none" w:sz="0" w:space="0" w:color="auto"/>
        <w:bottom w:val="none" w:sz="0" w:space="0" w:color="auto"/>
        <w:right w:val="none" w:sz="0" w:space="0" w:color="auto"/>
      </w:divBdr>
    </w:div>
    <w:div w:id="1811900788">
      <w:bodyDiv w:val="1"/>
      <w:marLeft w:val="0"/>
      <w:marRight w:val="0"/>
      <w:marTop w:val="0"/>
      <w:marBottom w:val="0"/>
      <w:divBdr>
        <w:top w:val="none" w:sz="0" w:space="0" w:color="auto"/>
        <w:left w:val="none" w:sz="0" w:space="0" w:color="auto"/>
        <w:bottom w:val="none" w:sz="0" w:space="0" w:color="auto"/>
        <w:right w:val="none" w:sz="0" w:space="0" w:color="auto"/>
      </w:divBdr>
    </w:div>
    <w:div w:id="1812333155">
      <w:bodyDiv w:val="1"/>
      <w:marLeft w:val="0"/>
      <w:marRight w:val="0"/>
      <w:marTop w:val="0"/>
      <w:marBottom w:val="0"/>
      <w:divBdr>
        <w:top w:val="none" w:sz="0" w:space="0" w:color="auto"/>
        <w:left w:val="none" w:sz="0" w:space="0" w:color="auto"/>
        <w:bottom w:val="none" w:sz="0" w:space="0" w:color="auto"/>
        <w:right w:val="none" w:sz="0" w:space="0" w:color="auto"/>
      </w:divBdr>
    </w:div>
    <w:div w:id="1817532840">
      <w:bodyDiv w:val="1"/>
      <w:marLeft w:val="0"/>
      <w:marRight w:val="0"/>
      <w:marTop w:val="0"/>
      <w:marBottom w:val="0"/>
      <w:divBdr>
        <w:top w:val="none" w:sz="0" w:space="0" w:color="auto"/>
        <w:left w:val="none" w:sz="0" w:space="0" w:color="auto"/>
        <w:bottom w:val="none" w:sz="0" w:space="0" w:color="auto"/>
        <w:right w:val="none" w:sz="0" w:space="0" w:color="auto"/>
      </w:divBdr>
    </w:div>
    <w:div w:id="1824811561">
      <w:bodyDiv w:val="1"/>
      <w:marLeft w:val="0"/>
      <w:marRight w:val="0"/>
      <w:marTop w:val="0"/>
      <w:marBottom w:val="0"/>
      <w:divBdr>
        <w:top w:val="none" w:sz="0" w:space="0" w:color="auto"/>
        <w:left w:val="none" w:sz="0" w:space="0" w:color="auto"/>
        <w:bottom w:val="none" w:sz="0" w:space="0" w:color="auto"/>
        <w:right w:val="none" w:sz="0" w:space="0" w:color="auto"/>
      </w:divBdr>
    </w:div>
    <w:div w:id="1830098057">
      <w:bodyDiv w:val="1"/>
      <w:marLeft w:val="0"/>
      <w:marRight w:val="0"/>
      <w:marTop w:val="0"/>
      <w:marBottom w:val="0"/>
      <w:divBdr>
        <w:top w:val="none" w:sz="0" w:space="0" w:color="auto"/>
        <w:left w:val="none" w:sz="0" w:space="0" w:color="auto"/>
        <w:bottom w:val="none" w:sz="0" w:space="0" w:color="auto"/>
        <w:right w:val="none" w:sz="0" w:space="0" w:color="auto"/>
      </w:divBdr>
    </w:div>
    <w:div w:id="1903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deed/ssb/involve/srcb/reports/index.jsp" TargetMode="External"/><Relationship Id="rId13" Type="http://schemas.openxmlformats.org/officeDocument/2006/relationships/hyperlink" Target="https://gcc02.safelinks.protection.outlook.com/?url=https%3A%2F%2Fdisabilityhubmn.org%2Ffor-professionals%2Fwork%2Fsupporting-people-on-waivers%2Fthe-engage-plan-find-keep-framework%2F&amp;data=05%7C01%7Cjon.benson%40state.mn.us%7C7ccaece2090547091ee608dbe480a2ff%7Ceb14b04624c445198f26b89c2159828c%7C0%7C0%7C638355013361209436%7CUnknown%7CTWFpbGZsb3d8eyJWIjoiMC4wLjAwMDAiLCJQIjoiV2luMzIiLCJBTiI6Ik1haWwiLCJXVCI6Mn0%3D%7C3000%7C%7C%7C&amp;sdata=WvWUFbT2gBB%2Bak8XKz6GJWvcrYhIt%2F5UXdGlYKgUK9w%3D&amp;reserved=0" TargetMode="External"/><Relationship Id="rId18" Type="http://schemas.microsoft.com/office/2020/10/relationships/intelligence" Target="intelligence2.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gcc02.safelinks.protection.outlook.com/?url=https%3A%2F%2Fdisabilityhubmn.org%2Ffor-professionals%2Fwork%2Fsupporting-people-on-waivers%2Fe1mn-training%2F&amp;data=05%7C01%7Cjon.benson%40state.mn.us%7C7ccaece2090547091ee608dbe480a2ff%7Ceb14b04624c445198f26b89c2159828c%7C0%7C0%7C638355013361209436%7CUnknown%7CTWFpbGZsb3d8eyJWIjoiMC4wLjAwMDAiLCJQIjoiV2luMzIiLCJBTiI6Ik1haWwiLCJXVCI6Mn0%3D%7C3000%7C%7C%7C&amp;sdata=z8QCjjgKOlcASffg3CarsaGK%2FxxGH8v0Qjbgp%2FJBd5I%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disabilityhubmn.org%2Fmedia%2Fsqsbrsac%2Fe1mn-efpk-framework.pdf&amp;data=05%7C01%7Cjon.benson%40state.mn.us%7C7ccaece2090547091ee608dbe480a2ff%7Ceb14b04624c445198f26b89c2159828c%7C0%7C0%7C638355013361209436%7CUnknown%7CTWFpbGZsb3d8eyJWIjoiMC4wLjAwMDAiLCJQIjoiV2luMzIiLCJBTiI6Ik1haWwiLCJXVCI6Mn0%3D%7C3000%7C%7C%7C&amp;sdata=uE8IriF5ec8XdCCTsbzHiGyyoxRV3p8k9raTxII8cjU%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n.gov/admin/disparity-study/"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mn.gov/admin/assets/Economic%20Status%20of%20Minnesotans%202023_tcm36-569572.pdf" TargetMode="External"/><Relationship Id="rId14" Type="http://schemas.openxmlformats.org/officeDocument/2006/relationships/hyperlink" Target="https://disabilityhubmn.org/media/sqsbrsac/e1mn-efpk-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B5715-8380-4075-97BA-D699DE3CE880}">
  <ds:schemaRefs>
    <ds:schemaRef ds:uri="http://schemas.openxmlformats.org/officeDocument/2006/bibliography"/>
  </ds:schemaRefs>
</ds:datastoreItem>
</file>

<file path=customXml/itemProps2.xml><?xml version="1.0" encoding="utf-8"?>
<ds:datastoreItem xmlns:ds="http://schemas.openxmlformats.org/officeDocument/2006/customXml" ds:itemID="{00319DE6-C42D-46CB-BAF8-D5FF49AB455D}"/>
</file>

<file path=customXml/itemProps3.xml><?xml version="1.0" encoding="utf-8"?>
<ds:datastoreItem xmlns:ds="http://schemas.openxmlformats.org/officeDocument/2006/customXml" ds:itemID="{6C24ED66-380C-4F1F-B28C-9014A2C8ED4B}"/>
</file>

<file path=customXml/itemProps4.xml><?xml version="1.0" encoding="utf-8"?>
<ds:datastoreItem xmlns:ds="http://schemas.openxmlformats.org/officeDocument/2006/customXml" ds:itemID="{2FAE9FCD-1373-41B2-82C0-A2B9CAB28A47}"/>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55</Pages>
  <Words>27926</Words>
  <Characters>159183</Characters>
  <Application>Microsoft Office Word</Application>
  <DocSecurity>4</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186736</CharactersWithSpaces>
  <SharedDoc>false</SharedDoc>
  <HLinks>
    <vt:vector size="42" baseType="variant">
      <vt:variant>
        <vt:i4>7536674</vt:i4>
      </vt:variant>
      <vt:variant>
        <vt:i4>18</vt:i4>
      </vt:variant>
      <vt:variant>
        <vt:i4>0</vt:i4>
      </vt:variant>
      <vt:variant>
        <vt:i4>5</vt:i4>
      </vt:variant>
      <vt:variant>
        <vt:lpwstr>https://disabilityhubmn.org/media/sqsbrsac/e1mn-efpk-framework.pdf</vt:lpwstr>
      </vt:variant>
      <vt:variant>
        <vt:lpwstr/>
      </vt:variant>
      <vt:variant>
        <vt:i4>3735585</vt:i4>
      </vt:variant>
      <vt:variant>
        <vt:i4>15</vt:i4>
      </vt:variant>
      <vt:variant>
        <vt:i4>0</vt:i4>
      </vt:variant>
      <vt:variant>
        <vt:i4>5</vt:i4>
      </vt:variant>
      <vt:variant>
        <vt:lpwstr>https://gcc02.safelinks.protection.outlook.com/?url=https%3A%2F%2Fdisabilityhubmn.org%2Ffor-professionals%2Fwork%2Fsupporting-people-on-waivers%2Fthe-engage-plan-find-keep-framework%2F&amp;data=05%7C01%7Cjon.benson%40state.mn.us%7C7ccaece2090547091ee608dbe480a2ff%7Ceb14b04624c445198f26b89c2159828c%7C0%7C0%7C638355013361209436%7CUnknown%7CTWFpbGZsb3d8eyJWIjoiMC4wLjAwMDAiLCJQIjoiV2luMzIiLCJBTiI6Ik1haWwiLCJXVCI6Mn0%3D%7C3000%7C%7C%7C&amp;sdata=WvWUFbT2gBB%2Bak8XKz6GJWvcrYhIt%2F5UXdGlYKgUK9w%3D&amp;reserved=0</vt:lpwstr>
      </vt:variant>
      <vt:variant>
        <vt:lpwstr/>
      </vt:variant>
      <vt:variant>
        <vt:i4>7340072</vt:i4>
      </vt:variant>
      <vt:variant>
        <vt:i4>12</vt:i4>
      </vt:variant>
      <vt:variant>
        <vt:i4>0</vt:i4>
      </vt:variant>
      <vt:variant>
        <vt:i4>5</vt:i4>
      </vt:variant>
      <vt:variant>
        <vt:lpwstr>https://gcc02.safelinks.protection.outlook.com/?url=https%3A%2F%2Fdisabilityhubmn.org%2Ffor-professionals%2Fwork%2Fsupporting-people-on-waivers%2Fe1mn-training%2F&amp;data=05%7C01%7Cjon.benson%40state.mn.us%7C7ccaece2090547091ee608dbe480a2ff%7Ceb14b04624c445198f26b89c2159828c%7C0%7C0%7C638355013361209436%7CUnknown%7CTWFpbGZsb3d8eyJWIjoiMC4wLjAwMDAiLCJQIjoiV2luMzIiLCJBTiI6Ik1haWwiLCJXVCI6Mn0%3D%7C3000%7C%7C%7C&amp;sdata=z8QCjjgKOlcASffg3CarsaGK%2FxxGH8v0Qjbgp%2FJBd5I%3D&amp;reserved=0</vt:lpwstr>
      </vt:variant>
      <vt:variant>
        <vt:lpwstr/>
      </vt:variant>
      <vt:variant>
        <vt:i4>7929954</vt:i4>
      </vt:variant>
      <vt:variant>
        <vt:i4>9</vt:i4>
      </vt:variant>
      <vt:variant>
        <vt:i4>0</vt:i4>
      </vt:variant>
      <vt:variant>
        <vt:i4>5</vt:i4>
      </vt:variant>
      <vt:variant>
        <vt:lpwstr>https://gcc02.safelinks.protection.outlook.com/?url=https%3A%2F%2Fdisabilityhubmn.org%2Fmedia%2Fsqsbrsac%2Fe1mn-efpk-framework.pdf&amp;data=05%7C01%7Cjon.benson%40state.mn.us%7C7ccaece2090547091ee608dbe480a2ff%7Ceb14b04624c445198f26b89c2159828c%7C0%7C0%7C638355013361209436%7CUnknown%7CTWFpbGZsb3d8eyJWIjoiMC4wLjAwMDAiLCJQIjoiV2luMzIiLCJBTiI6Ik1haWwiLCJXVCI6Mn0%3D%7C3000%7C%7C%7C&amp;sdata=uE8IriF5ec8XdCCTsbzHiGyyoxRV3p8k9raTxII8cjU%3D&amp;reserved=0</vt:lpwstr>
      </vt:variant>
      <vt:variant>
        <vt:lpwstr/>
      </vt:variant>
      <vt:variant>
        <vt:i4>1376323</vt:i4>
      </vt:variant>
      <vt:variant>
        <vt:i4>6</vt:i4>
      </vt:variant>
      <vt:variant>
        <vt:i4>0</vt:i4>
      </vt:variant>
      <vt:variant>
        <vt:i4>5</vt:i4>
      </vt:variant>
      <vt:variant>
        <vt:lpwstr>https://mn.gov/admin/disparity-study/</vt:lpwstr>
      </vt:variant>
      <vt:variant>
        <vt:lpwstr/>
      </vt:variant>
      <vt:variant>
        <vt:i4>7929863</vt:i4>
      </vt:variant>
      <vt:variant>
        <vt:i4>3</vt:i4>
      </vt:variant>
      <vt:variant>
        <vt:i4>0</vt:i4>
      </vt:variant>
      <vt:variant>
        <vt:i4>5</vt:i4>
      </vt:variant>
      <vt:variant>
        <vt:lpwstr>https://mn.gov/admin/assets/Economic Status of Minnesotans 2023_tcm36-569572.pdf</vt:lpwstr>
      </vt:variant>
      <vt:variant>
        <vt:lpwstr/>
      </vt:variant>
      <vt:variant>
        <vt:i4>3670141</vt:i4>
      </vt:variant>
      <vt:variant>
        <vt:i4>0</vt:i4>
      </vt:variant>
      <vt:variant>
        <vt:i4>0</vt:i4>
      </vt:variant>
      <vt:variant>
        <vt:i4>5</vt:i4>
      </vt:variant>
      <vt:variant>
        <vt:lpwstr>https://mn.gov/deed/ssb/involve/srcb/reports/index.jsp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Beilke, Jennifer (DEED)</dc:creator>
  <cp:keywords/>
  <dc:description/>
  <cp:lastModifiedBy>Kusz, Susan (She/Her/Hers) (DEED)</cp:lastModifiedBy>
  <cp:revision>2</cp:revision>
  <dcterms:created xsi:type="dcterms:W3CDTF">2024-01-18T12:34:00Z</dcterms:created>
  <dcterms:modified xsi:type="dcterms:W3CDTF">2024-01-18T12:34:00Z</dcterms:modified>
</cp:coreProperties>
</file>