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C6" w:rsidRPr="00CF1DCE" w:rsidRDefault="005D7CC6" w:rsidP="00CF1DCE">
      <w:pPr>
        <w:spacing w:after="0"/>
        <w:jc w:val="center"/>
        <w:rPr>
          <w:b/>
          <w:sz w:val="28"/>
        </w:rPr>
      </w:pPr>
      <w:r w:rsidRPr="00CF1DCE">
        <w:rPr>
          <w:b/>
          <w:sz w:val="28"/>
        </w:rPr>
        <w:t>Review of VRS Financial Reconciliation</w:t>
      </w:r>
    </w:p>
    <w:p w:rsidR="0083186A" w:rsidRDefault="005D7CC6" w:rsidP="00CF1DCE">
      <w:pPr>
        <w:jc w:val="center"/>
      </w:pPr>
      <w:r w:rsidRPr="00CF1DCE">
        <w:rPr>
          <w:b/>
          <w:sz w:val="28"/>
        </w:rPr>
        <w:t>Year One (February 2014 – June, 2014)</w:t>
      </w:r>
    </w:p>
    <w:p w:rsidR="00813C2C" w:rsidRPr="00CF1DCE" w:rsidRDefault="00813C2C" w:rsidP="00CF1DCE">
      <w:pPr>
        <w:pStyle w:val="Heading1"/>
      </w:pPr>
      <w:r w:rsidRPr="005C5660">
        <w:t>Purpose of Financial Reconciliation</w:t>
      </w:r>
    </w:p>
    <w:p w:rsidR="00943180" w:rsidRPr="00943180" w:rsidRDefault="00943180" w:rsidP="00CF1DCE">
      <w:pPr>
        <w:numPr>
          <w:ilvl w:val="0"/>
          <w:numId w:val="3"/>
        </w:numPr>
      </w:pPr>
      <w:r w:rsidRPr="00943180">
        <w:t xml:space="preserve">Fiduciary responsibility: to ensure that </w:t>
      </w:r>
      <w:r w:rsidR="00BB35CC">
        <w:t xml:space="preserve">public </w:t>
      </w:r>
      <w:r w:rsidRPr="00943180">
        <w:t>funds are used for their program intent and legislated purpose</w:t>
      </w:r>
      <w:r w:rsidR="002C4FCF">
        <w:t>.</w:t>
      </w:r>
    </w:p>
    <w:p w:rsidR="00943180" w:rsidRPr="00943180" w:rsidRDefault="00943180" w:rsidP="00CF1DCE">
      <w:pPr>
        <w:numPr>
          <w:ilvl w:val="0"/>
          <w:numId w:val="3"/>
        </w:numPr>
      </w:pPr>
      <w:r w:rsidRPr="00943180">
        <w:t>Process improvement: to enhance financial processes and practices at grantee organizations and Vocational Rehabilitation Services (VRS)</w:t>
      </w:r>
      <w:r w:rsidR="002C4FCF">
        <w:t>.</w:t>
      </w:r>
    </w:p>
    <w:p w:rsidR="00943180" w:rsidRPr="005C5660" w:rsidRDefault="00813C2C" w:rsidP="00CF1DCE">
      <w:pPr>
        <w:pStyle w:val="Heading1"/>
      </w:pPr>
      <w:r w:rsidRPr="005C5660">
        <w:t xml:space="preserve">Goals </w:t>
      </w:r>
      <w:r w:rsidR="00CF1DCE">
        <w:t>for</w:t>
      </w:r>
      <w:r w:rsidR="003D4036">
        <w:t xml:space="preserve"> VRS’ </w:t>
      </w:r>
      <w:r w:rsidRPr="005C5660">
        <w:t xml:space="preserve">First Year </w:t>
      </w:r>
      <w:r w:rsidR="00CF1DCE">
        <w:t>of</w:t>
      </w:r>
      <w:r w:rsidRPr="005C5660">
        <w:t xml:space="preserve"> Financial Reconciliation</w:t>
      </w:r>
    </w:p>
    <w:p w:rsidR="004C438E" w:rsidRDefault="00BB35CC" w:rsidP="00CF1DCE">
      <w:pPr>
        <w:pStyle w:val="ListParagraph"/>
        <w:numPr>
          <w:ilvl w:val="0"/>
          <w:numId w:val="4"/>
        </w:numPr>
      </w:pPr>
      <w:r>
        <w:t xml:space="preserve">To bring </w:t>
      </w:r>
      <w:r w:rsidR="007B795D">
        <w:t xml:space="preserve">VRS grants in compliance with </w:t>
      </w:r>
      <w:r>
        <w:t xml:space="preserve">State of Minnesota’s </w:t>
      </w:r>
      <w:r w:rsidR="007B795D">
        <w:t xml:space="preserve">Office of Grants Management’s </w:t>
      </w:r>
      <w:r w:rsidR="00BE768A">
        <w:t xml:space="preserve">(OGM) </w:t>
      </w:r>
      <w:r w:rsidR="007B795D">
        <w:t>Financial Reconciliation policy, i.e., every grant has a financial reconciliation at least once during the contract cycle of the grant award.</w:t>
      </w:r>
    </w:p>
    <w:p w:rsidR="003D4036" w:rsidRDefault="003D4036" w:rsidP="00CF1DCE">
      <w:pPr>
        <w:pStyle w:val="ListParagraph"/>
        <w:numPr>
          <w:ilvl w:val="0"/>
          <w:numId w:val="4"/>
        </w:numPr>
      </w:pPr>
      <w:r>
        <w:t xml:space="preserve">To eliminate a </w:t>
      </w:r>
      <w:r w:rsidR="00BB35CC">
        <w:t>Minnesota Office of the Legislative Auditor audit finding</w:t>
      </w:r>
      <w:r w:rsidR="00BE768A">
        <w:t xml:space="preserve"> that VRS was not in compliance with the OGM policy</w:t>
      </w:r>
      <w:r>
        <w:t xml:space="preserve"> on Financial Reconciliation</w:t>
      </w:r>
      <w:r w:rsidR="00BE768A">
        <w:t>.</w:t>
      </w:r>
    </w:p>
    <w:p w:rsidR="007B795D" w:rsidRDefault="003D4036" w:rsidP="00CF1DCE">
      <w:pPr>
        <w:pStyle w:val="ListParagraph"/>
        <w:numPr>
          <w:ilvl w:val="0"/>
          <w:numId w:val="4"/>
        </w:numPr>
      </w:pPr>
      <w:r>
        <w:t>In concert with community partners, d</w:t>
      </w:r>
      <w:r w:rsidR="007B795D">
        <w:t>evelop</w:t>
      </w:r>
      <w:r>
        <w:t xml:space="preserve"> and test</w:t>
      </w:r>
      <w:r w:rsidR="007B795D">
        <w:t xml:space="preserve"> VRS Financial Reconciliation procedures</w:t>
      </w:r>
      <w:r w:rsidR="00CF1DCE">
        <w:t xml:space="preserve"> </w:t>
      </w:r>
      <w:r w:rsidR="007B795D">
        <w:t xml:space="preserve">and </w:t>
      </w:r>
      <w:r>
        <w:t xml:space="preserve">evaluation </w:t>
      </w:r>
      <w:r w:rsidR="007B795D">
        <w:t>metrics</w:t>
      </w:r>
      <w:r w:rsidR="00CF1DCE">
        <w:t>.</w:t>
      </w:r>
    </w:p>
    <w:p w:rsidR="007B795D" w:rsidRPr="005C5660" w:rsidRDefault="007B795D" w:rsidP="00CF1DCE">
      <w:pPr>
        <w:pStyle w:val="Heading1"/>
      </w:pPr>
      <w:r w:rsidRPr="005C5660">
        <w:t xml:space="preserve">Common Findings </w:t>
      </w:r>
      <w:r w:rsidR="00CF1DCE" w:rsidRPr="005C5660">
        <w:t>from</w:t>
      </w:r>
      <w:r w:rsidRPr="005C5660">
        <w:t xml:space="preserve"> Reconciliations </w:t>
      </w:r>
      <w:r w:rsidR="00CF1DCE" w:rsidRPr="005C5660">
        <w:t xml:space="preserve">- Most Frequent </w:t>
      </w:r>
      <w:r w:rsidR="00CF1DCE">
        <w:t xml:space="preserve">Findings </w:t>
      </w:r>
      <w:r w:rsidR="00CF1DCE" w:rsidRPr="005C5660">
        <w:t>to Least Frequent</w:t>
      </w:r>
      <w:r w:rsidR="00CF1DCE">
        <w:t xml:space="preserve"> Findings</w:t>
      </w:r>
    </w:p>
    <w:p w:rsidR="006C1A0A" w:rsidRDefault="004A1179" w:rsidP="00CF1DCE">
      <w:pPr>
        <w:pStyle w:val="Heading2"/>
      </w:pPr>
      <w:r w:rsidRPr="00CF1DCE">
        <w:t>Travel</w:t>
      </w:r>
    </w:p>
    <w:p w:rsidR="00AD7533" w:rsidRDefault="008237A1" w:rsidP="00CF1DCE">
      <w:pPr>
        <w:pStyle w:val="ListParagraph"/>
        <w:numPr>
          <w:ilvl w:val="0"/>
          <w:numId w:val="17"/>
        </w:numPr>
      </w:pPr>
      <w:r>
        <w:t xml:space="preserve">Travel </w:t>
      </w:r>
      <w:r w:rsidR="00826A54">
        <w:t xml:space="preserve">logs </w:t>
      </w:r>
      <w:r>
        <w:t xml:space="preserve">that </w:t>
      </w:r>
      <w:r w:rsidR="004A1179">
        <w:t>did not clearly show which travel was for which grant.</w:t>
      </w:r>
    </w:p>
    <w:p w:rsidR="00AD7533" w:rsidRDefault="004A1179" w:rsidP="00CF1DCE">
      <w:pPr>
        <w:pStyle w:val="ListParagraph"/>
        <w:numPr>
          <w:ilvl w:val="0"/>
          <w:numId w:val="17"/>
        </w:numPr>
      </w:pPr>
      <w:r>
        <w:t xml:space="preserve">Travel </w:t>
      </w:r>
      <w:r w:rsidR="00AD7533">
        <w:t xml:space="preserve">costs were </w:t>
      </w:r>
      <w:r>
        <w:t>allocated across multiple grants when it appeared that the travel was for a specific grant.</w:t>
      </w:r>
    </w:p>
    <w:p w:rsidR="007B795D" w:rsidRDefault="00580027" w:rsidP="00CF1DCE">
      <w:pPr>
        <w:pStyle w:val="ListParagraph"/>
        <w:numPr>
          <w:ilvl w:val="0"/>
          <w:numId w:val="17"/>
        </w:numPr>
      </w:pPr>
      <w:r>
        <w:t>Travel logs were not signed by employee and</w:t>
      </w:r>
      <w:r w:rsidR="00AD7533">
        <w:t>/or</w:t>
      </w:r>
      <w:r>
        <w:t xml:space="preserve"> supervisor</w:t>
      </w:r>
      <w:r w:rsidR="00CF1DCE">
        <w:t>.</w:t>
      </w:r>
    </w:p>
    <w:p w:rsidR="00AD7533" w:rsidRDefault="005C373D" w:rsidP="00CF1DCE">
      <w:pPr>
        <w:pStyle w:val="Heading2"/>
      </w:pPr>
      <w:r>
        <w:t xml:space="preserve">Employee </w:t>
      </w:r>
      <w:r w:rsidRPr="005C373D">
        <w:t>Timesheet</w:t>
      </w:r>
      <w:r w:rsidR="002C4FCF">
        <w:t>s</w:t>
      </w:r>
    </w:p>
    <w:p w:rsidR="00AD7533" w:rsidRDefault="005C373D" w:rsidP="00CF1DCE">
      <w:pPr>
        <w:pStyle w:val="ListParagraph"/>
        <w:numPr>
          <w:ilvl w:val="0"/>
          <w:numId w:val="15"/>
        </w:numPr>
      </w:pPr>
      <w:r>
        <w:t>Employee timesheets often</w:t>
      </w:r>
      <w:r w:rsidR="004A1179">
        <w:t xml:space="preserve"> did</w:t>
      </w:r>
      <w:r w:rsidR="008237A1">
        <w:t xml:space="preserve"> not </w:t>
      </w:r>
      <w:r w:rsidR="004A1179">
        <w:t>show hours being charged to different grants.</w:t>
      </w:r>
      <w:r w:rsidR="00CF1DCE">
        <w:t xml:space="preserve"> </w:t>
      </w:r>
      <w:r w:rsidR="00AD7533">
        <w:t>Difficult to tell who was being charged to the grant and their hourly rate of pay.</w:t>
      </w:r>
    </w:p>
    <w:p w:rsidR="00AD7533" w:rsidRDefault="005C373D" w:rsidP="00CF1DCE">
      <w:pPr>
        <w:pStyle w:val="ListParagraph"/>
        <w:numPr>
          <w:ilvl w:val="0"/>
          <w:numId w:val="15"/>
        </w:numPr>
      </w:pPr>
      <w:r>
        <w:lastRenderedPageBreak/>
        <w:t>In some cases, t</w:t>
      </w:r>
      <w:r w:rsidR="004A1179">
        <w:t>imesheets were not kept by the organization.</w:t>
      </w:r>
    </w:p>
    <w:p w:rsidR="004A1179" w:rsidRDefault="004A1179" w:rsidP="00CF1DCE">
      <w:pPr>
        <w:pStyle w:val="ListParagraph"/>
        <w:numPr>
          <w:ilvl w:val="0"/>
          <w:numId w:val="15"/>
        </w:numPr>
      </w:pPr>
      <w:r>
        <w:t>Timesheets were not signed by the employee and</w:t>
      </w:r>
      <w:r w:rsidR="005C373D">
        <w:t>/or</w:t>
      </w:r>
      <w:r w:rsidR="00CF1DCE">
        <w:t xml:space="preserve"> </w:t>
      </w:r>
      <w:r>
        <w:t>the supervisor.</w:t>
      </w:r>
    </w:p>
    <w:p w:rsidR="00AD7533" w:rsidRDefault="008237A1" w:rsidP="00CF1DCE">
      <w:pPr>
        <w:pStyle w:val="Heading2"/>
      </w:pPr>
      <w:r>
        <w:t xml:space="preserve">Insufficient </w:t>
      </w:r>
      <w:r w:rsidR="005C373D">
        <w:t xml:space="preserve">Supporting </w:t>
      </w:r>
      <w:r w:rsidR="00CF1DCE">
        <w:t>Documentation</w:t>
      </w:r>
    </w:p>
    <w:p w:rsidR="00AD7533" w:rsidRDefault="004A1179" w:rsidP="00CF1DCE">
      <w:pPr>
        <w:pStyle w:val="ListParagraph"/>
        <w:numPr>
          <w:ilvl w:val="0"/>
          <w:numId w:val="16"/>
        </w:numPr>
      </w:pPr>
      <w:r>
        <w:t xml:space="preserve">Often the </w:t>
      </w:r>
      <w:r w:rsidR="005C373D">
        <w:t xml:space="preserve">supplied </w:t>
      </w:r>
      <w:r>
        <w:t>documentation did not support the amounts shown o</w:t>
      </w:r>
      <w:r w:rsidR="005C373D">
        <w:t>n the invoice being reconciled</w:t>
      </w:r>
      <w:r w:rsidR="00CF1DCE">
        <w:t>.</w:t>
      </w:r>
    </w:p>
    <w:p w:rsidR="007B795D" w:rsidRDefault="00AD7533" w:rsidP="00CF1DCE">
      <w:pPr>
        <w:pStyle w:val="ListParagraph"/>
        <w:numPr>
          <w:ilvl w:val="0"/>
          <w:numId w:val="16"/>
        </w:numPr>
      </w:pPr>
      <w:r>
        <w:t xml:space="preserve">It was </w:t>
      </w:r>
      <w:r w:rsidR="005C373D">
        <w:t xml:space="preserve">extremely difficult to reconcile </w:t>
      </w:r>
      <w:r>
        <w:t xml:space="preserve">the documents </w:t>
      </w:r>
      <w:r w:rsidR="005C373D">
        <w:t>with the invoice amounts.</w:t>
      </w:r>
    </w:p>
    <w:p w:rsidR="00AD7533" w:rsidRDefault="00AD7533" w:rsidP="00CF1DCE">
      <w:pPr>
        <w:pStyle w:val="ListParagraph"/>
        <w:numPr>
          <w:ilvl w:val="0"/>
          <w:numId w:val="16"/>
        </w:numPr>
      </w:pPr>
      <w:r>
        <w:t>No document was supplied for some line items</w:t>
      </w:r>
      <w:r w:rsidR="00CF1DCE">
        <w:t>.</w:t>
      </w:r>
    </w:p>
    <w:p w:rsidR="00AD7533" w:rsidRDefault="004A1179" w:rsidP="00CF1DCE">
      <w:pPr>
        <w:pStyle w:val="Heading2"/>
      </w:pPr>
      <w:proofErr w:type="spellStart"/>
      <w:r w:rsidRPr="005C373D">
        <w:t>Unallowed</w:t>
      </w:r>
      <w:proofErr w:type="spellEnd"/>
      <w:r w:rsidRPr="005C373D">
        <w:t xml:space="preserve"> </w:t>
      </w:r>
      <w:r w:rsidR="005C373D" w:rsidRPr="005C373D">
        <w:t>E</w:t>
      </w:r>
      <w:r w:rsidRPr="005C373D">
        <w:t>xpenses</w:t>
      </w:r>
    </w:p>
    <w:p w:rsidR="00AD7533" w:rsidRDefault="005C373D" w:rsidP="00CF1DCE">
      <w:pPr>
        <w:pStyle w:val="ListParagraph"/>
        <w:numPr>
          <w:ilvl w:val="0"/>
          <w:numId w:val="18"/>
        </w:numPr>
      </w:pPr>
      <w:r>
        <w:t>T</w:t>
      </w:r>
      <w:r w:rsidR="004A1179">
        <w:t xml:space="preserve">he </w:t>
      </w:r>
      <w:r>
        <w:t>most frequent</w:t>
      </w:r>
      <w:r w:rsidR="00CF1DCE">
        <w:t xml:space="preserve"> </w:t>
      </w:r>
      <w:proofErr w:type="spellStart"/>
      <w:r w:rsidR="004A1179">
        <w:t>unallowed</w:t>
      </w:r>
      <w:proofErr w:type="spellEnd"/>
      <w:r w:rsidR="004A1179">
        <w:t xml:space="preserve"> expense was the purchase</w:t>
      </w:r>
      <w:r w:rsidR="00CF1DCE">
        <w:t xml:space="preserve"> </w:t>
      </w:r>
      <w:r w:rsidR="007B795D">
        <w:t>of food and refreshments for meetings and for clients/consumers</w:t>
      </w:r>
      <w:r w:rsidR="004A1179">
        <w:t>.</w:t>
      </w:r>
    </w:p>
    <w:p w:rsidR="00AD7533" w:rsidRDefault="004A1179" w:rsidP="00CF1DCE">
      <w:pPr>
        <w:pStyle w:val="ListParagraph"/>
        <w:numPr>
          <w:ilvl w:val="0"/>
          <w:numId w:val="18"/>
        </w:numPr>
      </w:pPr>
      <w:r>
        <w:t xml:space="preserve">The second most frequent </w:t>
      </w:r>
      <w:proofErr w:type="spellStart"/>
      <w:r>
        <w:t>unallowed</w:t>
      </w:r>
      <w:proofErr w:type="spellEnd"/>
      <w:r>
        <w:t xml:space="preserve"> expense were various forms of employee recognition paid with grant funds</w:t>
      </w:r>
      <w:r w:rsidR="00CF1DCE">
        <w:t>.</w:t>
      </w:r>
    </w:p>
    <w:p w:rsidR="00F916F4" w:rsidRDefault="004A1179" w:rsidP="00CF1DCE">
      <w:pPr>
        <w:pStyle w:val="ListParagraph"/>
        <w:numPr>
          <w:ilvl w:val="1"/>
          <w:numId w:val="18"/>
        </w:numPr>
      </w:pPr>
      <w:r>
        <w:t xml:space="preserve">Employee recognition can be an allowable cost </w:t>
      </w:r>
      <w:r w:rsidR="007B795D">
        <w:t>if there is a Board approved policy</w:t>
      </w:r>
      <w:r w:rsidR="00580027">
        <w:t xml:space="preserve"> about recognition and the expense was approved when th</w:t>
      </w:r>
      <w:r w:rsidR="00CF1DCE">
        <w:t>e contract was approved by VRS.</w:t>
      </w:r>
    </w:p>
    <w:p w:rsidR="007104D6" w:rsidRDefault="00580027" w:rsidP="00CF1DCE">
      <w:pPr>
        <w:pStyle w:val="Heading2"/>
      </w:pPr>
      <w:r w:rsidRPr="005C373D">
        <w:t xml:space="preserve">Cost </w:t>
      </w:r>
      <w:r w:rsidR="005C373D">
        <w:t>A</w:t>
      </w:r>
      <w:r w:rsidRPr="005C373D">
        <w:t>llocation</w:t>
      </w:r>
      <w:r w:rsidR="007104D6">
        <w:t xml:space="preserve"> Plans and Methods</w:t>
      </w:r>
    </w:p>
    <w:p w:rsidR="007104D6" w:rsidRDefault="007104D6" w:rsidP="00CF1DCE">
      <w:pPr>
        <w:pStyle w:val="ListParagraph"/>
        <w:numPr>
          <w:ilvl w:val="0"/>
          <w:numId w:val="19"/>
        </w:numPr>
      </w:pPr>
      <w:r>
        <w:t xml:space="preserve">Cost allocation </w:t>
      </w:r>
      <w:r w:rsidR="002A6A7F">
        <w:t xml:space="preserve">percentages </w:t>
      </w:r>
      <w:r>
        <w:t>used in invoices were different than approved cost allocation plans in contract budgets</w:t>
      </w:r>
      <w:r w:rsidR="00CF1DCE">
        <w:t>.</w:t>
      </w:r>
    </w:p>
    <w:p w:rsidR="002A6A7F" w:rsidRDefault="008237A1" w:rsidP="00CF1DCE">
      <w:pPr>
        <w:pStyle w:val="ListParagraph"/>
        <w:numPr>
          <w:ilvl w:val="0"/>
          <w:numId w:val="19"/>
        </w:numPr>
      </w:pPr>
      <w:r>
        <w:t>Difficult to determine which</w:t>
      </w:r>
      <w:r w:rsidR="007104D6">
        <w:t xml:space="preserve"> cost allocation method(s) were used </w:t>
      </w:r>
      <w:r w:rsidR="002A6A7F">
        <w:t>in the invoice</w:t>
      </w:r>
      <w:r w:rsidR="00CF1DCE">
        <w:t>.</w:t>
      </w:r>
    </w:p>
    <w:p w:rsidR="00580027" w:rsidRDefault="002A6A7F" w:rsidP="00CF1DCE">
      <w:pPr>
        <w:pStyle w:val="ListParagraph"/>
        <w:numPr>
          <w:ilvl w:val="0"/>
          <w:numId w:val="19"/>
        </w:numPr>
      </w:pPr>
      <w:r>
        <w:t>Using the percentage of a grant’s revenue to overall agency operations as the percentage for cost allocation.</w:t>
      </w:r>
      <w:r w:rsidR="00CF1DCE">
        <w:t xml:space="preserve"> </w:t>
      </w:r>
      <w:r>
        <w:t>That is not an allowable method according to Federal regulations</w:t>
      </w:r>
      <w:r w:rsidR="00945308">
        <w:t xml:space="preserve"> and nor for State grants</w:t>
      </w:r>
      <w:r>
        <w:t>.</w:t>
      </w:r>
      <w:r w:rsidR="00CF1DCE">
        <w:t xml:space="preserve"> </w:t>
      </w:r>
      <w:r>
        <w:t xml:space="preserve">We will be working with grantees to use </w:t>
      </w:r>
      <w:r w:rsidR="008237A1">
        <w:t xml:space="preserve">a </w:t>
      </w:r>
      <w:r w:rsidR="00945308">
        <w:t xml:space="preserve">correct </w:t>
      </w:r>
      <w:r w:rsidR="008237A1">
        <w:t>cost all</w:t>
      </w:r>
      <w:r w:rsidR="00CF1DCE">
        <w:t>ocation method with VRS grants.</w:t>
      </w:r>
    </w:p>
    <w:p w:rsidR="00285DFE" w:rsidRPr="0093625B" w:rsidRDefault="001E2054" w:rsidP="00CF1DCE">
      <w:pPr>
        <w:pStyle w:val="Heading2"/>
      </w:pPr>
      <w:r w:rsidRPr="0093625B">
        <w:t>Direct vs. Indirect Costs</w:t>
      </w:r>
      <w:r w:rsidR="0093625B" w:rsidRPr="0093625B">
        <w:t xml:space="preserve"> and “Other”</w:t>
      </w:r>
    </w:p>
    <w:p w:rsidR="00285DFE" w:rsidRDefault="00285DFE" w:rsidP="00CF1DCE">
      <w:pPr>
        <w:pStyle w:val="ListParagraph"/>
        <w:numPr>
          <w:ilvl w:val="0"/>
          <w:numId w:val="20"/>
        </w:numPr>
      </w:pPr>
      <w:r>
        <w:t>There was sufficient confusion about the differences between “Direct” and “Indirect Costs” that additional training may be needed.</w:t>
      </w:r>
      <w:r w:rsidR="00CF1DCE">
        <w:t xml:space="preserve"> </w:t>
      </w:r>
      <w:r w:rsidR="0093625B">
        <w:t>There are new changes in the Federal “Super Circular” about indirect costs.</w:t>
      </w:r>
      <w:r w:rsidR="00CF1DCE">
        <w:t xml:space="preserve"> </w:t>
      </w:r>
      <w:r w:rsidR="0093625B">
        <w:t>Those changes may simplify the allocation of such expenses.</w:t>
      </w:r>
    </w:p>
    <w:p w:rsidR="0093625B" w:rsidRDefault="0093625B" w:rsidP="00CF1DCE">
      <w:pPr>
        <w:pStyle w:val="ListParagraph"/>
        <w:numPr>
          <w:ilvl w:val="0"/>
          <w:numId w:val="20"/>
        </w:numPr>
      </w:pPr>
      <w:r>
        <w:t>The “Other” line often contained indirect costs rather than direct costs</w:t>
      </w:r>
      <w:r w:rsidR="002C4FCF">
        <w:t>.</w:t>
      </w:r>
    </w:p>
    <w:p w:rsidR="00C7425C" w:rsidRPr="00CF1DCE" w:rsidRDefault="0093625B" w:rsidP="00CF1DCE">
      <w:pPr>
        <w:pStyle w:val="ListParagraph"/>
        <w:numPr>
          <w:ilvl w:val="0"/>
          <w:numId w:val="20"/>
        </w:numPr>
      </w:pPr>
      <w:r>
        <w:lastRenderedPageBreak/>
        <w:t>In a few instances, costs which should have been budgeted in line items were budgeted in “Other</w:t>
      </w:r>
      <w:r w:rsidR="00CF1DCE">
        <w:t>,</w:t>
      </w:r>
      <w:r>
        <w:t>” e.g., cell phone bills (Communications), janitorial services (Occupancy Services) and audit expenses (Contractual/Professional Fees) were put in the “Other” line item</w:t>
      </w:r>
      <w:r w:rsidR="00CF1DCE">
        <w:t>.</w:t>
      </w:r>
    </w:p>
    <w:p w:rsidR="007B795D" w:rsidRPr="005C5660" w:rsidRDefault="005C373D" w:rsidP="00CF1DCE">
      <w:pPr>
        <w:pStyle w:val="Heading1"/>
      </w:pPr>
      <w:r w:rsidRPr="005C5660">
        <w:t xml:space="preserve">VRS Performance </w:t>
      </w:r>
      <w:r w:rsidR="00AC5907" w:rsidRPr="005C5660">
        <w:t>Metrics</w:t>
      </w:r>
      <w:r w:rsidRPr="005C5660">
        <w:t xml:space="preserve"> </w:t>
      </w:r>
      <w:r w:rsidR="00CF1DCE" w:rsidRPr="005C5660">
        <w:t>for</w:t>
      </w:r>
      <w:r w:rsidRPr="005C5660">
        <w:t xml:space="preserve"> Financial Reconciliation Process</w:t>
      </w:r>
    </w:p>
    <w:tbl>
      <w:tblPr>
        <w:tblStyle w:val="TableGrid"/>
        <w:tblW w:w="0" w:type="auto"/>
        <w:tblInd w:w="720" w:type="dxa"/>
        <w:tblLook w:val="04A0" w:firstRow="1" w:lastRow="0" w:firstColumn="1" w:lastColumn="0" w:noHBand="0" w:noVBand="1"/>
      </w:tblPr>
      <w:tblGrid>
        <w:gridCol w:w="4788"/>
        <w:gridCol w:w="1685"/>
        <w:gridCol w:w="1562"/>
      </w:tblGrid>
      <w:tr w:rsidR="004A1179" w:rsidRPr="005C373D" w:rsidTr="003F50BC">
        <w:trPr>
          <w:tblHeader/>
        </w:trPr>
        <w:tc>
          <w:tcPr>
            <w:tcW w:w="4788" w:type="dxa"/>
          </w:tcPr>
          <w:p w:rsidR="004A1179" w:rsidRPr="005C373D" w:rsidRDefault="004A1179" w:rsidP="00CF1DCE">
            <w:pPr>
              <w:keepNext/>
              <w:spacing w:before="120" w:after="120"/>
              <w:rPr>
                <w:b/>
              </w:rPr>
            </w:pPr>
            <w:r w:rsidRPr="005C373D">
              <w:rPr>
                <w:b/>
              </w:rPr>
              <w:t>Indicator</w:t>
            </w:r>
          </w:p>
        </w:tc>
        <w:tc>
          <w:tcPr>
            <w:tcW w:w="1685" w:type="dxa"/>
          </w:tcPr>
          <w:p w:rsidR="004A1179" w:rsidRPr="005C373D" w:rsidRDefault="004A1179" w:rsidP="00CF1DCE">
            <w:pPr>
              <w:keepNext/>
              <w:spacing w:before="120" w:after="120"/>
              <w:rPr>
                <w:b/>
              </w:rPr>
            </w:pPr>
            <w:r w:rsidRPr="005C373D">
              <w:rPr>
                <w:b/>
              </w:rPr>
              <w:t>Goal</w:t>
            </w:r>
          </w:p>
        </w:tc>
        <w:tc>
          <w:tcPr>
            <w:tcW w:w="1562" w:type="dxa"/>
          </w:tcPr>
          <w:p w:rsidR="004A1179" w:rsidRPr="005C373D" w:rsidRDefault="004A1179" w:rsidP="00CF1DCE">
            <w:pPr>
              <w:keepNext/>
              <w:spacing w:before="120" w:after="120"/>
              <w:rPr>
                <w:b/>
              </w:rPr>
            </w:pPr>
            <w:r w:rsidRPr="005C373D">
              <w:rPr>
                <w:b/>
              </w:rPr>
              <w:t>Results</w:t>
            </w:r>
          </w:p>
        </w:tc>
      </w:tr>
      <w:tr w:rsidR="004A1179" w:rsidTr="004A1179">
        <w:tc>
          <w:tcPr>
            <w:tcW w:w="4788" w:type="dxa"/>
          </w:tcPr>
          <w:p w:rsidR="004A1179" w:rsidRDefault="004A1179" w:rsidP="00CF1DCE">
            <w:pPr>
              <w:spacing w:before="120" w:after="120"/>
            </w:pPr>
            <w:r>
              <w:t>Notifications Sent On Time</w:t>
            </w:r>
          </w:p>
        </w:tc>
        <w:tc>
          <w:tcPr>
            <w:tcW w:w="1685" w:type="dxa"/>
          </w:tcPr>
          <w:p w:rsidR="004A1179" w:rsidRDefault="004A1179" w:rsidP="00CF1DCE">
            <w:pPr>
              <w:spacing w:before="120" w:after="120"/>
            </w:pPr>
            <w:r>
              <w:t>100%</w:t>
            </w:r>
          </w:p>
        </w:tc>
        <w:tc>
          <w:tcPr>
            <w:tcW w:w="1562" w:type="dxa"/>
          </w:tcPr>
          <w:p w:rsidR="004A1179" w:rsidRDefault="004A1179" w:rsidP="00CF1DCE">
            <w:pPr>
              <w:spacing w:before="120" w:after="120"/>
            </w:pPr>
            <w:r>
              <w:t>100%</w:t>
            </w:r>
          </w:p>
        </w:tc>
      </w:tr>
      <w:tr w:rsidR="004A1179" w:rsidTr="004A1179">
        <w:tc>
          <w:tcPr>
            <w:tcW w:w="4788" w:type="dxa"/>
          </w:tcPr>
          <w:p w:rsidR="004A1179" w:rsidRDefault="004A1179" w:rsidP="00CF1DCE">
            <w:pPr>
              <w:spacing w:before="120" w:after="120"/>
            </w:pPr>
            <w:r>
              <w:t>Grantee submitted their documentation on-time</w:t>
            </w:r>
          </w:p>
        </w:tc>
        <w:tc>
          <w:tcPr>
            <w:tcW w:w="1685" w:type="dxa"/>
          </w:tcPr>
          <w:p w:rsidR="004A1179" w:rsidRDefault="004A1179" w:rsidP="00CF1DCE">
            <w:pPr>
              <w:spacing w:before="120" w:after="120"/>
            </w:pPr>
            <w:r>
              <w:t>100%</w:t>
            </w:r>
          </w:p>
        </w:tc>
        <w:tc>
          <w:tcPr>
            <w:tcW w:w="1562" w:type="dxa"/>
          </w:tcPr>
          <w:p w:rsidR="004A1179" w:rsidRDefault="004A1179" w:rsidP="00CF1DCE">
            <w:pPr>
              <w:spacing w:before="120" w:after="120"/>
            </w:pPr>
            <w:r>
              <w:t>87%</w:t>
            </w:r>
          </w:p>
        </w:tc>
      </w:tr>
      <w:tr w:rsidR="004A1179" w:rsidTr="004A1179">
        <w:tc>
          <w:tcPr>
            <w:tcW w:w="4788" w:type="dxa"/>
          </w:tcPr>
          <w:p w:rsidR="004A1179" w:rsidRDefault="004A1179" w:rsidP="00CF1DCE">
            <w:pPr>
              <w:spacing w:before="120" w:after="120"/>
            </w:pPr>
            <w:r>
              <w:t>VRS sent responses to grantees on time</w:t>
            </w:r>
          </w:p>
        </w:tc>
        <w:tc>
          <w:tcPr>
            <w:tcW w:w="1685" w:type="dxa"/>
          </w:tcPr>
          <w:p w:rsidR="004A1179" w:rsidRDefault="004A1179" w:rsidP="00CF1DCE">
            <w:pPr>
              <w:spacing w:before="120" w:after="120"/>
            </w:pPr>
            <w:r>
              <w:t>95%</w:t>
            </w:r>
          </w:p>
        </w:tc>
        <w:tc>
          <w:tcPr>
            <w:tcW w:w="1562" w:type="dxa"/>
          </w:tcPr>
          <w:p w:rsidR="004A1179" w:rsidRDefault="004A1179" w:rsidP="00CF1DCE">
            <w:pPr>
              <w:spacing w:before="120" w:after="120"/>
            </w:pPr>
            <w:r>
              <w:t>63%</w:t>
            </w:r>
          </w:p>
        </w:tc>
      </w:tr>
    </w:tbl>
    <w:p w:rsidR="009626E9" w:rsidRDefault="009626E9" w:rsidP="003F50BC">
      <w:pPr>
        <w:pStyle w:val="ListParagraph"/>
        <w:numPr>
          <w:ilvl w:val="0"/>
          <w:numId w:val="11"/>
        </w:numPr>
        <w:spacing w:before="240"/>
      </w:pPr>
      <w:bookmarkStart w:id="0" w:name="_GoBack"/>
      <w:bookmarkEnd w:id="0"/>
      <w:r>
        <w:t>First request for</w:t>
      </w:r>
      <w:r w:rsidR="0093625B">
        <w:t xml:space="preserve"> reconciliation documentation was emailed on</w:t>
      </w:r>
      <w:r>
        <w:t xml:space="preserve"> January 17, 2014; last request </w:t>
      </w:r>
      <w:r w:rsidR="0093625B">
        <w:t xml:space="preserve">was emailed on </w:t>
      </w:r>
      <w:r>
        <w:t>May 12, 2014</w:t>
      </w:r>
      <w:r w:rsidR="00D6089C">
        <w:t>.</w:t>
      </w:r>
    </w:p>
    <w:p w:rsidR="009626E9" w:rsidRDefault="0093625B" w:rsidP="00CF1DCE">
      <w:pPr>
        <w:pStyle w:val="ListParagraph"/>
        <w:numPr>
          <w:ilvl w:val="0"/>
          <w:numId w:val="11"/>
        </w:numPr>
      </w:pPr>
      <w:r>
        <w:t>VRS c</w:t>
      </w:r>
      <w:r w:rsidR="009626E9">
        <w:t xml:space="preserve">ompleted 54 </w:t>
      </w:r>
      <w:r w:rsidR="005C373D">
        <w:t xml:space="preserve">financial </w:t>
      </w:r>
      <w:r w:rsidR="009626E9">
        <w:t>reconciliations for SFY 14 and FFY 14 grants</w:t>
      </w:r>
      <w:r w:rsidR="00D6089C">
        <w:t>.</w:t>
      </w:r>
    </w:p>
    <w:p w:rsidR="0093625B" w:rsidRDefault="0093625B" w:rsidP="00CF1DCE">
      <w:pPr>
        <w:pStyle w:val="ListParagraph"/>
        <w:numPr>
          <w:ilvl w:val="0"/>
          <w:numId w:val="11"/>
        </w:numPr>
      </w:pPr>
      <w:r>
        <w:t>Results of the reconciliations:</w:t>
      </w:r>
    </w:p>
    <w:p w:rsidR="009626E9" w:rsidRDefault="00D6089C" w:rsidP="00CF1DCE">
      <w:pPr>
        <w:pStyle w:val="ListParagraph"/>
        <w:numPr>
          <w:ilvl w:val="1"/>
          <w:numId w:val="11"/>
        </w:numPr>
      </w:pPr>
      <w:r>
        <w:t>44</w:t>
      </w:r>
      <w:r w:rsidR="009626E9">
        <w:t xml:space="preserve"> grants </w:t>
      </w:r>
      <w:r>
        <w:t>received just the Closing Letter.</w:t>
      </w:r>
    </w:p>
    <w:p w:rsidR="009626E9" w:rsidRDefault="009626E9" w:rsidP="00CF1DCE">
      <w:pPr>
        <w:pStyle w:val="ListParagraph"/>
        <w:numPr>
          <w:ilvl w:val="1"/>
          <w:numId w:val="11"/>
        </w:numPr>
      </w:pPr>
      <w:r>
        <w:t xml:space="preserve">10 grants </w:t>
      </w:r>
      <w:r w:rsidR="00D6089C">
        <w:t xml:space="preserve">received a Closing Letter and a </w:t>
      </w:r>
      <w:r>
        <w:t>Corrective Action</w:t>
      </w:r>
      <w:r w:rsidR="0093625B">
        <w:t xml:space="preserve"> </w:t>
      </w:r>
      <w:r w:rsidR="00D6089C">
        <w:t>Plan.</w:t>
      </w:r>
      <w:r w:rsidR="00CF1DCE">
        <w:t xml:space="preserve"> </w:t>
      </w:r>
      <w:r w:rsidR="00D6089C">
        <w:t>All grantees successfully completed the actions required</w:t>
      </w:r>
      <w:r w:rsidR="00CF1DCE">
        <w:t xml:space="preserve"> in the Corrective Action Plan.</w:t>
      </w:r>
    </w:p>
    <w:p w:rsidR="009626E9" w:rsidRDefault="0093625B" w:rsidP="00CF1DCE">
      <w:pPr>
        <w:pStyle w:val="ListParagraph"/>
        <w:numPr>
          <w:ilvl w:val="0"/>
          <w:numId w:val="11"/>
        </w:numPr>
      </w:pPr>
      <w:r>
        <w:t xml:space="preserve">Grantees estimated it took </w:t>
      </w:r>
      <w:r w:rsidR="009626E9">
        <w:t>8-2</w:t>
      </w:r>
      <w:r>
        <w:t>6</w:t>
      </w:r>
      <w:r w:rsidR="009626E9">
        <w:t xml:space="preserve"> hours to locate</w:t>
      </w:r>
      <w:r>
        <w:t>, organize</w:t>
      </w:r>
      <w:r w:rsidR="009626E9">
        <w:t xml:space="preserve"> and send documentation</w:t>
      </w:r>
      <w:r w:rsidR="005C373D">
        <w:t xml:space="preserve"> (based on estimates from a few grantees)</w:t>
      </w:r>
      <w:r w:rsidR="00CF1DCE">
        <w:t>.</w:t>
      </w:r>
    </w:p>
    <w:p w:rsidR="009626E9" w:rsidRDefault="009626E9" w:rsidP="00CF1DCE">
      <w:pPr>
        <w:pStyle w:val="ListParagraph"/>
        <w:numPr>
          <w:ilvl w:val="0"/>
          <w:numId w:val="11"/>
        </w:numPr>
      </w:pPr>
      <w:r>
        <w:t>It took VRS an estimated 5-10 hours per grant to review the documents, discuss the results with the grant monitor, draft a response letter and send the response letter or Correcti</w:t>
      </w:r>
      <w:r w:rsidR="0093625B">
        <w:t>on Action letter to the Executive Director.</w:t>
      </w:r>
    </w:p>
    <w:p w:rsidR="007B795D" w:rsidRPr="00A51C7A" w:rsidRDefault="007B795D" w:rsidP="00CF1DCE">
      <w:pPr>
        <w:pStyle w:val="Heading1"/>
      </w:pPr>
      <w:r w:rsidRPr="00A51C7A">
        <w:t>What Went Well</w:t>
      </w:r>
      <w:r w:rsidR="00F951EC">
        <w:t xml:space="preserve"> For </w:t>
      </w:r>
      <w:r w:rsidR="00CF1DCE">
        <w:t>the</w:t>
      </w:r>
      <w:r w:rsidR="00F951EC">
        <w:t xml:space="preserve"> First Time</w:t>
      </w:r>
      <w:r w:rsidR="008237A1">
        <w:t xml:space="preserve"> – from VRS</w:t>
      </w:r>
      <w:r w:rsidR="00CF1DCE">
        <w:t>’</w:t>
      </w:r>
      <w:r w:rsidR="008237A1">
        <w:t xml:space="preserve"> </w:t>
      </w:r>
      <w:r w:rsidR="00CF1DCE">
        <w:t>P</w:t>
      </w:r>
      <w:r w:rsidR="008237A1">
        <w:t>erspective</w:t>
      </w:r>
    </w:p>
    <w:p w:rsidR="007B795D" w:rsidRDefault="00DB4193" w:rsidP="00CF1DCE">
      <w:pPr>
        <w:pStyle w:val="ListParagraph"/>
        <w:numPr>
          <w:ilvl w:val="0"/>
          <w:numId w:val="9"/>
        </w:numPr>
      </w:pPr>
      <w:r>
        <w:t>Having a</w:t>
      </w:r>
      <w:r w:rsidR="00F951EC">
        <w:t xml:space="preserve"> dedicated</w:t>
      </w:r>
      <w:r w:rsidR="00CF1DCE">
        <w:t xml:space="preserve"> </w:t>
      </w:r>
      <w:r>
        <w:t>email address</w:t>
      </w:r>
      <w:r w:rsidR="00CF1DCE">
        <w:t xml:space="preserve"> </w:t>
      </w:r>
      <w:r>
        <w:t xml:space="preserve">and email folders for each grantee under </w:t>
      </w:r>
      <w:r w:rsidR="005C373D">
        <w:t xml:space="preserve">the </w:t>
      </w:r>
      <w:proofErr w:type="spellStart"/>
      <w:r w:rsidR="005C373D">
        <w:t>FinRec</w:t>
      </w:r>
      <w:proofErr w:type="spellEnd"/>
      <w:r w:rsidR="005C373D">
        <w:t xml:space="preserve"> heading.</w:t>
      </w:r>
      <w:r w:rsidR="00CF1DCE">
        <w:t xml:space="preserve"> </w:t>
      </w:r>
      <w:r w:rsidR="005C373D">
        <w:t xml:space="preserve">Easy </w:t>
      </w:r>
      <w:r w:rsidR="00F951EC">
        <w:t xml:space="preserve">for VRS to locate </w:t>
      </w:r>
      <w:r w:rsidR="005C373D">
        <w:t>all correspondence and supplied documentation for each grantee and each grant</w:t>
      </w:r>
      <w:r w:rsidR="002C4FCF">
        <w:t>.</w:t>
      </w:r>
    </w:p>
    <w:p w:rsidR="00F951EC" w:rsidRDefault="00F951EC" w:rsidP="00CF1DCE">
      <w:pPr>
        <w:pStyle w:val="ListParagraph"/>
        <w:numPr>
          <w:ilvl w:val="0"/>
          <w:numId w:val="9"/>
        </w:numPr>
      </w:pPr>
      <w:r>
        <w:lastRenderedPageBreak/>
        <w:t>For VRS and grantees, able to shift to a greater use of electronic documents rather than a mixture of paper and electronic.</w:t>
      </w:r>
      <w:r w:rsidR="00CF1DCE">
        <w:t xml:space="preserve"> </w:t>
      </w:r>
      <w:r>
        <w:t>This included adding electronic signatures which expedited contract routing and allowed signatories to sign documents without needing to be in the office.</w:t>
      </w:r>
    </w:p>
    <w:p w:rsidR="00DB4193" w:rsidRDefault="00F951EC" w:rsidP="00CF1DCE">
      <w:pPr>
        <w:pStyle w:val="ListParagraph"/>
        <w:numPr>
          <w:ilvl w:val="0"/>
          <w:numId w:val="9"/>
        </w:numPr>
      </w:pPr>
      <w:r>
        <w:t>VRS wrote improved and clearer instructions and forms for applications.</w:t>
      </w:r>
    </w:p>
    <w:p w:rsidR="00DB4193" w:rsidRDefault="00DB4193" w:rsidP="00CF1DCE">
      <w:pPr>
        <w:pStyle w:val="ListParagraph"/>
        <w:numPr>
          <w:ilvl w:val="0"/>
          <w:numId w:val="9"/>
        </w:numPr>
      </w:pPr>
      <w:r>
        <w:t xml:space="preserve">Generally, </w:t>
      </w:r>
      <w:r w:rsidR="00F951EC">
        <w:t xml:space="preserve">those doing the financial reconciliations </w:t>
      </w:r>
      <w:r>
        <w:t>were able to review all the documentation within the established time frames.</w:t>
      </w:r>
      <w:r w:rsidR="00CF1DCE">
        <w:t xml:space="preserve"> </w:t>
      </w:r>
      <w:r>
        <w:t>The form for documenting the reconciliation worked well</w:t>
      </w:r>
      <w:r w:rsidR="00F951EC">
        <w:t xml:space="preserve"> and should meet the recordkeeping requirements of the Office of the Legislative Auditor</w:t>
      </w:r>
      <w:r w:rsidR="00CF1DCE">
        <w:t>.</w:t>
      </w:r>
    </w:p>
    <w:p w:rsidR="00F951EC" w:rsidRDefault="00F951EC" w:rsidP="00CF1DCE">
      <w:pPr>
        <w:pStyle w:val="ListParagraph"/>
        <w:numPr>
          <w:ilvl w:val="0"/>
          <w:numId w:val="9"/>
        </w:numPr>
      </w:pPr>
      <w:r>
        <w:t>Saved approximately 1,040 hours of staff time after revisions to the application and contract process.</w:t>
      </w:r>
    </w:p>
    <w:p w:rsidR="007B795D" w:rsidRPr="00A51C7A" w:rsidRDefault="00AC5907" w:rsidP="00CF1DCE">
      <w:pPr>
        <w:pStyle w:val="Heading1"/>
      </w:pPr>
      <w:r w:rsidRPr="00A51C7A">
        <w:t xml:space="preserve">What Did </w:t>
      </w:r>
      <w:r w:rsidR="00F951EC">
        <w:t>VRS</w:t>
      </w:r>
      <w:r w:rsidRPr="00A51C7A">
        <w:t xml:space="preserve"> Learn and </w:t>
      </w:r>
      <w:r w:rsidR="007B795D" w:rsidRPr="00A51C7A">
        <w:t xml:space="preserve">What </w:t>
      </w:r>
      <w:r w:rsidR="00945308">
        <w:t>Will</w:t>
      </w:r>
      <w:r w:rsidR="007B795D" w:rsidRPr="00A51C7A">
        <w:t xml:space="preserve"> Change</w:t>
      </w:r>
      <w:r w:rsidR="00307007">
        <w:t xml:space="preserve"> For Future Financial Reconciliations</w:t>
      </w:r>
    </w:p>
    <w:p w:rsidR="00307007" w:rsidRDefault="00307007" w:rsidP="00CF1DCE">
      <w:pPr>
        <w:pStyle w:val="ListParagraph"/>
        <w:numPr>
          <w:ilvl w:val="0"/>
          <w:numId w:val="10"/>
        </w:numPr>
      </w:pPr>
      <w:r>
        <w:t>Changes to be made prior to the next round of Financial Reconciliation</w:t>
      </w:r>
      <w:r w:rsidR="00945308">
        <w:t>.</w:t>
      </w:r>
      <w:r w:rsidR="00CF1DCE">
        <w:t xml:space="preserve"> </w:t>
      </w:r>
      <w:r w:rsidR="00945308">
        <w:t>VRS will:</w:t>
      </w:r>
    </w:p>
    <w:p w:rsidR="00307007" w:rsidRDefault="00945308" w:rsidP="00CF1DCE">
      <w:pPr>
        <w:pStyle w:val="ListParagraph"/>
        <w:numPr>
          <w:ilvl w:val="1"/>
          <w:numId w:val="10"/>
        </w:numPr>
        <w:ind w:left="720"/>
      </w:pPr>
      <w:r>
        <w:t xml:space="preserve">Be </w:t>
      </w:r>
      <w:r w:rsidR="00307007">
        <w:t>clearer and more descriptive about what documentation is needed.</w:t>
      </w:r>
      <w:r w:rsidR="00CF1DCE">
        <w:t xml:space="preserve"> </w:t>
      </w:r>
      <w:r w:rsidR="00307007">
        <w:t>This should reduce some of the volume of documentation.</w:t>
      </w:r>
    </w:p>
    <w:p w:rsidR="00945308" w:rsidRDefault="00945308" w:rsidP="00CF1DCE">
      <w:pPr>
        <w:pStyle w:val="ListParagraph"/>
        <w:numPr>
          <w:ilvl w:val="1"/>
          <w:numId w:val="10"/>
        </w:numPr>
        <w:ind w:left="720"/>
      </w:pPr>
      <w:r>
        <w:t>Decide what is exactly needed to reconcile fringe benefits in order to avoid especially burdensome documentation requirements</w:t>
      </w:r>
      <w:r w:rsidR="002C4FCF">
        <w:t>.</w:t>
      </w:r>
    </w:p>
    <w:p w:rsidR="001C6674" w:rsidRDefault="00945308" w:rsidP="00CF1DCE">
      <w:pPr>
        <w:pStyle w:val="ListParagraph"/>
        <w:numPr>
          <w:ilvl w:val="1"/>
          <w:numId w:val="10"/>
        </w:numPr>
        <w:ind w:left="720"/>
      </w:pPr>
      <w:r>
        <w:t xml:space="preserve">Ask the grantee </w:t>
      </w:r>
      <w:r w:rsidR="001C6674">
        <w:t>to include a sheet which explains which of their accounting codes are for which grant, who are the staff assigned to the grant including percentage of time and hourly wage, their cost allocation percentages and perhaps how fringes are allocated per person.</w:t>
      </w:r>
      <w:r w:rsidR="00CF1DCE">
        <w:t xml:space="preserve"> </w:t>
      </w:r>
    </w:p>
    <w:p w:rsidR="00793646" w:rsidRDefault="001C6674" w:rsidP="00CF1DCE">
      <w:pPr>
        <w:pStyle w:val="ListParagraph"/>
        <w:numPr>
          <w:ilvl w:val="1"/>
          <w:numId w:val="10"/>
        </w:numPr>
        <w:ind w:left="720"/>
      </w:pPr>
      <w:r>
        <w:t>Ask grantee to organize their documentation by line item</w:t>
      </w:r>
      <w:r w:rsidR="002C4FCF">
        <w:t>.</w:t>
      </w:r>
    </w:p>
    <w:p w:rsidR="001C6674" w:rsidRDefault="001C6674" w:rsidP="00CF1DCE">
      <w:pPr>
        <w:pStyle w:val="ListParagraph"/>
        <w:numPr>
          <w:ilvl w:val="1"/>
          <w:numId w:val="10"/>
        </w:numPr>
        <w:ind w:left="720"/>
      </w:pPr>
      <w:r>
        <w:t xml:space="preserve">Include a checklist </w:t>
      </w:r>
      <w:r w:rsidR="002C4FCF">
        <w:t>with documentation request.</w:t>
      </w:r>
    </w:p>
    <w:p w:rsidR="001C6674" w:rsidRDefault="001C6674" w:rsidP="00CF1DCE">
      <w:pPr>
        <w:pStyle w:val="ListParagraph"/>
        <w:numPr>
          <w:ilvl w:val="1"/>
          <w:numId w:val="10"/>
        </w:numPr>
        <w:ind w:left="720"/>
      </w:pPr>
      <w:r>
        <w:t xml:space="preserve">Include a copy of the blank reconciliation form </w:t>
      </w:r>
      <w:r w:rsidR="00945308">
        <w:t>use</w:t>
      </w:r>
      <w:r w:rsidR="002C4FCF">
        <w:t>d</w:t>
      </w:r>
      <w:r w:rsidR="00945308">
        <w:t xml:space="preserve"> by VRS which meets </w:t>
      </w:r>
      <w:r>
        <w:t>Legislative Auditor requirements</w:t>
      </w:r>
      <w:r w:rsidR="002C4FCF">
        <w:t>.</w:t>
      </w:r>
    </w:p>
    <w:p w:rsidR="00307007" w:rsidRDefault="00945308" w:rsidP="00CF1DCE">
      <w:pPr>
        <w:pStyle w:val="ListParagraph"/>
        <w:numPr>
          <w:ilvl w:val="0"/>
          <w:numId w:val="10"/>
        </w:numPr>
      </w:pPr>
      <w:r>
        <w:t xml:space="preserve">It may help to have readily available </w:t>
      </w:r>
      <w:r w:rsidR="00307007">
        <w:t>examples</w:t>
      </w:r>
      <w:r w:rsidR="00126D0D">
        <w:t xml:space="preserve"> of </w:t>
      </w:r>
      <w:r w:rsidR="00307007">
        <w:t>good forms of documentation in areas such as travel, time sheets, cost allocation methods and fringe benefits.</w:t>
      </w:r>
    </w:p>
    <w:p w:rsidR="00207963" w:rsidRDefault="00945308" w:rsidP="00CF1DCE">
      <w:pPr>
        <w:pStyle w:val="ListParagraph"/>
        <w:numPr>
          <w:ilvl w:val="0"/>
          <w:numId w:val="10"/>
        </w:numPr>
      </w:pPr>
      <w:r>
        <w:t>It may help to a</w:t>
      </w:r>
      <w:r w:rsidR="00A51C7A">
        <w:t>dd a phone call with the grantee after the review and prior to sending out VRS</w:t>
      </w:r>
      <w:r>
        <w:t>’</w:t>
      </w:r>
      <w:r w:rsidR="00A51C7A">
        <w:t xml:space="preserve"> </w:t>
      </w:r>
      <w:r w:rsidR="00D6089C">
        <w:t>Closing Letter</w:t>
      </w:r>
      <w:r w:rsidR="00A51C7A">
        <w:t xml:space="preserve">. </w:t>
      </w:r>
      <w:r w:rsidR="00261963">
        <w:t xml:space="preserve">For some of the Independent Living grants, we scheduled grantee phone calls </w:t>
      </w:r>
      <w:r w:rsidR="007F006D">
        <w:t>after reviewing their documentation and before writing our response letter.</w:t>
      </w:r>
      <w:r w:rsidR="00CF1DCE">
        <w:t xml:space="preserve"> </w:t>
      </w:r>
      <w:r w:rsidR="007F006D">
        <w:t xml:space="preserve">In </w:t>
      </w:r>
      <w:r w:rsidR="007F006D">
        <w:lastRenderedPageBreak/>
        <w:t>all cases those calls answered some questions, clarified what we thought we “saw” in the documentation and prepared a grantee for</w:t>
      </w:r>
      <w:r w:rsidR="00CF1DCE">
        <w:t xml:space="preserve"> a Corrective Action letter.</w:t>
      </w:r>
    </w:p>
    <w:sectPr w:rsidR="00207963" w:rsidSect="00C7425C">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95" w:rsidRDefault="00896B95" w:rsidP="00813C2C">
      <w:pPr>
        <w:spacing w:after="0"/>
      </w:pPr>
      <w:r>
        <w:separator/>
      </w:r>
    </w:p>
  </w:endnote>
  <w:endnote w:type="continuationSeparator" w:id="0">
    <w:p w:rsidR="00896B95" w:rsidRDefault="00896B95" w:rsidP="0081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002895"/>
      <w:docPartObj>
        <w:docPartGallery w:val="Page Numbers (Bottom of Page)"/>
        <w:docPartUnique/>
      </w:docPartObj>
    </w:sdtPr>
    <w:sdtEndPr>
      <w:rPr>
        <w:noProof/>
      </w:rPr>
    </w:sdtEndPr>
    <w:sdtContent>
      <w:p w:rsidR="008237A1" w:rsidRDefault="00CF1DCE" w:rsidP="00CF1DCE">
        <w:pPr>
          <w:pStyle w:val="Footer"/>
          <w:tabs>
            <w:tab w:val="clear" w:pos="4680"/>
          </w:tabs>
        </w:pPr>
        <w:r>
          <w:t>10/15</w:t>
        </w:r>
        <w:r w:rsidR="001901D6">
          <w:t>/14</w:t>
        </w:r>
        <w:r w:rsidR="008237A1">
          <w:tab/>
        </w:r>
        <w:r w:rsidR="008237A1">
          <w:fldChar w:fldCharType="begin"/>
        </w:r>
        <w:r w:rsidR="008237A1">
          <w:instrText xml:space="preserve"> PAGE   \* MERGEFORMAT </w:instrText>
        </w:r>
        <w:r w:rsidR="008237A1">
          <w:fldChar w:fldCharType="separate"/>
        </w:r>
        <w:r w:rsidR="003F50BC">
          <w:rPr>
            <w:noProof/>
          </w:rPr>
          <w:t>5</w:t>
        </w:r>
        <w:r w:rsidR="008237A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95" w:rsidRDefault="00896B95" w:rsidP="00813C2C">
      <w:pPr>
        <w:spacing w:after="0"/>
      </w:pPr>
      <w:r>
        <w:separator/>
      </w:r>
    </w:p>
  </w:footnote>
  <w:footnote w:type="continuationSeparator" w:id="0">
    <w:p w:rsidR="00896B95" w:rsidRDefault="00896B95" w:rsidP="00813C2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176"/>
    <w:multiLevelType w:val="hybridMultilevel"/>
    <w:tmpl w:val="22E28C2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A0387"/>
    <w:multiLevelType w:val="hybridMultilevel"/>
    <w:tmpl w:val="DFCE6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42872"/>
    <w:multiLevelType w:val="hybridMultilevel"/>
    <w:tmpl w:val="D2DCE1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C15AC6"/>
    <w:multiLevelType w:val="hybridMultilevel"/>
    <w:tmpl w:val="86968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5487D"/>
    <w:multiLevelType w:val="hybridMultilevel"/>
    <w:tmpl w:val="49165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76425"/>
    <w:multiLevelType w:val="hybridMultilevel"/>
    <w:tmpl w:val="39DE8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E910F6"/>
    <w:multiLevelType w:val="hybridMultilevel"/>
    <w:tmpl w:val="9A74F5D6"/>
    <w:lvl w:ilvl="0" w:tplc="E006F68A">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FE0CC0"/>
    <w:multiLevelType w:val="hybridMultilevel"/>
    <w:tmpl w:val="AAFC27D0"/>
    <w:lvl w:ilvl="0" w:tplc="DC4E3F12">
      <w:start w:val="1"/>
      <w:numFmt w:val="decimal"/>
      <w:lvlText w:val="%1."/>
      <w:lvlJc w:val="left"/>
      <w:pPr>
        <w:tabs>
          <w:tab w:val="num" w:pos="360"/>
        </w:tabs>
        <w:ind w:left="360" w:hanging="360"/>
      </w:pPr>
    </w:lvl>
    <w:lvl w:ilvl="1" w:tplc="1830536C" w:tentative="1">
      <w:start w:val="1"/>
      <w:numFmt w:val="decimal"/>
      <w:lvlText w:val="%2."/>
      <w:lvlJc w:val="left"/>
      <w:pPr>
        <w:tabs>
          <w:tab w:val="num" w:pos="1080"/>
        </w:tabs>
        <w:ind w:left="1080" w:hanging="360"/>
      </w:pPr>
    </w:lvl>
    <w:lvl w:ilvl="2" w:tplc="AA867DD8" w:tentative="1">
      <w:start w:val="1"/>
      <w:numFmt w:val="decimal"/>
      <w:lvlText w:val="%3."/>
      <w:lvlJc w:val="left"/>
      <w:pPr>
        <w:tabs>
          <w:tab w:val="num" w:pos="1800"/>
        </w:tabs>
        <w:ind w:left="1800" w:hanging="360"/>
      </w:pPr>
    </w:lvl>
    <w:lvl w:ilvl="3" w:tplc="3CBED824" w:tentative="1">
      <w:start w:val="1"/>
      <w:numFmt w:val="decimal"/>
      <w:lvlText w:val="%4."/>
      <w:lvlJc w:val="left"/>
      <w:pPr>
        <w:tabs>
          <w:tab w:val="num" w:pos="2520"/>
        </w:tabs>
        <w:ind w:left="2520" w:hanging="360"/>
      </w:pPr>
    </w:lvl>
    <w:lvl w:ilvl="4" w:tplc="561848D6" w:tentative="1">
      <w:start w:val="1"/>
      <w:numFmt w:val="decimal"/>
      <w:lvlText w:val="%5."/>
      <w:lvlJc w:val="left"/>
      <w:pPr>
        <w:tabs>
          <w:tab w:val="num" w:pos="3240"/>
        </w:tabs>
        <w:ind w:left="3240" w:hanging="360"/>
      </w:pPr>
    </w:lvl>
    <w:lvl w:ilvl="5" w:tplc="9EE09D62" w:tentative="1">
      <w:start w:val="1"/>
      <w:numFmt w:val="decimal"/>
      <w:lvlText w:val="%6."/>
      <w:lvlJc w:val="left"/>
      <w:pPr>
        <w:tabs>
          <w:tab w:val="num" w:pos="3960"/>
        </w:tabs>
        <w:ind w:left="3960" w:hanging="360"/>
      </w:pPr>
    </w:lvl>
    <w:lvl w:ilvl="6" w:tplc="4CF4B606" w:tentative="1">
      <w:start w:val="1"/>
      <w:numFmt w:val="decimal"/>
      <w:lvlText w:val="%7."/>
      <w:lvlJc w:val="left"/>
      <w:pPr>
        <w:tabs>
          <w:tab w:val="num" w:pos="4680"/>
        </w:tabs>
        <w:ind w:left="4680" w:hanging="360"/>
      </w:pPr>
    </w:lvl>
    <w:lvl w:ilvl="7" w:tplc="BD38948C" w:tentative="1">
      <w:start w:val="1"/>
      <w:numFmt w:val="decimal"/>
      <w:lvlText w:val="%8."/>
      <w:lvlJc w:val="left"/>
      <w:pPr>
        <w:tabs>
          <w:tab w:val="num" w:pos="5400"/>
        </w:tabs>
        <w:ind w:left="5400" w:hanging="360"/>
      </w:pPr>
    </w:lvl>
    <w:lvl w:ilvl="8" w:tplc="53766676" w:tentative="1">
      <w:start w:val="1"/>
      <w:numFmt w:val="decimal"/>
      <w:lvlText w:val="%9."/>
      <w:lvlJc w:val="left"/>
      <w:pPr>
        <w:tabs>
          <w:tab w:val="num" w:pos="6120"/>
        </w:tabs>
        <w:ind w:left="6120" w:hanging="360"/>
      </w:pPr>
    </w:lvl>
  </w:abstractNum>
  <w:abstractNum w:abstractNumId="8" w15:restartNumberingAfterBreak="0">
    <w:nsid w:val="45405925"/>
    <w:multiLevelType w:val="hybridMultilevel"/>
    <w:tmpl w:val="3A9CD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71546"/>
    <w:multiLevelType w:val="hybridMultilevel"/>
    <w:tmpl w:val="BC08FF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656AA7"/>
    <w:multiLevelType w:val="hybridMultilevel"/>
    <w:tmpl w:val="8BA26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03A69"/>
    <w:multiLevelType w:val="hybridMultilevel"/>
    <w:tmpl w:val="20223C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444CAE"/>
    <w:multiLevelType w:val="hybridMultilevel"/>
    <w:tmpl w:val="D5B413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016D2"/>
    <w:multiLevelType w:val="hybridMultilevel"/>
    <w:tmpl w:val="32F44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E2342"/>
    <w:multiLevelType w:val="hybridMultilevel"/>
    <w:tmpl w:val="8F6EE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3325A"/>
    <w:multiLevelType w:val="hybridMultilevel"/>
    <w:tmpl w:val="E8465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8606FD"/>
    <w:multiLevelType w:val="hybridMultilevel"/>
    <w:tmpl w:val="F51840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405A9"/>
    <w:multiLevelType w:val="hybridMultilevel"/>
    <w:tmpl w:val="C266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6C7CAD"/>
    <w:multiLevelType w:val="hybridMultilevel"/>
    <w:tmpl w:val="925E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5B0C1D"/>
    <w:multiLevelType w:val="hybridMultilevel"/>
    <w:tmpl w:val="ADECB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5"/>
  </w:num>
  <w:num w:numId="5">
    <w:abstractNumId w:val="6"/>
  </w:num>
  <w:num w:numId="6">
    <w:abstractNumId w:val="1"/>
  </w:num>
  <w:num w:numId="7">
    <w:abstractNumId w:val="14"/>
  </w:num>
  <w:num w:numId="8">
    <w:abstractNumId w:val="18"/>
  </w:num>
  <w:num w:numId="9">
    <w:abstractNumId w:val="11"/>
  </w:num>
  <w:num w:numId="10">
    <w:abstractNumId w:val="0"/>
  </w:num>
  <w:num w:numId="11">
    <w:abstractNumId w:val="16"/>
  </w:num>
  <w:num w:numId="12">
    <w:abstractNumId w:val="9"/>
  </w:num>
  <w:num w:numId="13">
    <w:abstractNumId w:val="2"/>
  </w:num>
  <w:num w:numId="14">
    <w:abstractNumId w:val="12"/>
  </w:num>
  <w:num w:numId="15">
    <w:abstractNumId w:val="4"/>
  </w:num>
  <w:num w:numId="16">
    <w:abstractNumId w:val="8"/>
  </w:num>
  <w:num w:numId="17">
    <w:abstractNumId w:val="19"/>
  </w:num>
  <w:num w:numId="18">
    <w:abstractNumId w:val="3"/>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29"/>
    <w:rsid w:val="00104D94"/>
    <w:rsid w:val="00126D0D"/>
    <w:rsid w:val="001872B0"/>
    <w:rsid w:val="001901D6"/>
    <w:rsid w:val="001C6674"/>
    <w:rsid w:val="001E2054"/>
    <w:rsid w:val="001F10E9"/>
    <w:rsid w:val="00207963"/>
    <w:rsid w:val="00261963"/>
    <w:rsid w:val="002716D1"/>
    <w:rsid w:val="00285DFE"/>
    <w:rsid w:val="00291713"/>
    <w:rsid w:val="002A6A7F"/>
    <w:rsid w:val="002C4FCF"/>
    <w:rsid w:val="002E7ACD"/>
    <w:rsid w:val="00307007"/>
    <w:rsid w:val="003737B5"/>
    <w:rsid w:val="0038794B"/>
    <w:rsid w:val="003D4036"/>
    <w:rsid w:val="003F50BC"/>
    <w:rsid w:val="00453D96"/>
    <w:rsid w:val="00460417"/>
    <w:rsid w:val="004A1179"/>
    <w:rsid w:val="004C438E"/>
    <w:rsid w:val="00580027"/>
    <w:rsid w:val="005A7183"/>
    <w:rsid w:val="005C373D"/>
    <w:rsid w:val="005C5660"/>
    <w:rsid w:val="005D7CC6"/>
    <w:rsid w:val="005E7D49"/>
    <w:rsid w:val="005F5E69"/>
    <w:rsid w:val="006542B6"/>
    <w:rsid w:val="006C1A0A"/>
    <w:rsid w:val="006E2F77"/>
    <w:rsid w:val="0070011F"/>
    <w:rsid w:val="00707060"/>
    <w:rsid w:val="007104D6"/>
    <w:rsid w:val="007362FC"/>
    <w:rsid w:val="00750665"/>
    <w:rsid w:val="00762557"/>
    <w:rsid w:val="00776F85"/>
    <w:rsid w:val="00793646"/>
    <w:rsid w:val="007A5F5A"/>
    <w:rsid w:val="007B795D"/>
    <w:rsid w:val="007F006D"/>
    <w:rsid w:val="007F35A5"/>
    <w:rsid w:val="00813C2C"/>
    <w:rsid w:val="008237A1"/>
    <w:rsid w:val="00826A54"/>
    <w:rsid w:val="0083186A"/>
    <w:rsid w:val="008464D5"/>
    <w:rsid w:val="00851CF5"/>
    <w:rsid w:val="00896B95"/>
    <w:rsid w:val="008F4277"/>
    <w:rsid w:val="0093625B"/>
    <w:rsid w:val="00943180"/>
    <w:rsid w:val="00945308"/>
    <w:rsid w:val="009626E9"/>
    <w:rsid w:val="009C5F76"/>
    <w:rsid w:val="00A51C7A"/>
    <w:rsid w:val="00AB7BB2"/>
    <w:rsid w:val="00AC5907"/>
    <w:rsid w:val="00AC6E1E"/>
    <w:rsid w:val="00AC7688"/>
    <w:rsid w:val="00AD7533"/>
    <w:rsid w:val="00B21050"/>
    <w:rsid w:val="00B27AD5"/>
    <w:rsid w:val="00B50344"/>
    <w:rsid w:val="00B82E49"/>
    <w:rsid w:val="00B940FE"/>
    <w:rsid w:val="00BB35CC"/>
    <w:rsid w:val="00BD603A"/>
    <w:rsid w:val="00BE768A"/>
    <w:rsid w:val="00BF305A"/>
    <w:rsid w:val="00C7425C"/>
    <w:rsid w:val="00CA7E29"/>
    <w:rsid w:val="00CC2453"/>
    <w:rsid w:val="00CC748B"/>
    <w:rsid w:val="00CF1DCE"/>
    <w:rsid w:val="00D37BB9"/>
    <w:rsid w:val="00D6089C"/>
    <w:rsid w:val="00D72330"/>
    <w:rsid w:val="00DB4193"/>
    <w:rsid w:val="00DC574C"/>
    <w:rsid w:val="00E86201"/>
    <w:rsid w:val="00F32CE3"/>
    <w:rsid w:val="00F916F4"/>
    <w:rsid w:val="00F9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2C0A0-A6D9-49A9-8872-9B44A83A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BC"/>
    <w:pPr>
      <w:spacing w:after="240"/>
    </w:pPr>
    <w:rPr>
      <w:sz w:val="24"/>
      <w:szCs w:val="22"/>
    </w:rPr>
  </w:style>
  <w:style w:type="paragraph" w:styleId="Heading1">
    <w:name w:val="heading 1"/>
    <w:basedOn w:val="Normal"/>
    <w:next w:val="Normal"/>
    <w:link w:val="Heading1Char"/>
    <w:uiPriority w:val="9"/>
    <w:qFormat/>
    <w:rsid w:val="003F50BC"/>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3F50BC"/>
    <w:pPr>
      <w:keepNext/>
      <w:outlineLvl w:val="1"/>
    </w:pPr>
    <w:rPr>
      <w:b/>
      <w:bCs/>
      <w:sz w:val="36"/>
      <w:szCs w:val="26"/>
    </w:rPr>
  </w:style>
  <w:style w:type="paragraph" w:styleId="Heading3">
    <w:name w:val="heading 3"/>
    <w:basedOn w:val="Normal"/>
    <w:next w:val="Normal"/>
    <w:link w:val="Heading3Char"/>
    <w:uiPriority w:val="9"/>
    <w:semiHidden/>
    <w:unhideWhenUsed/>
    <w:qFormat/>
    <w:rsid w:val="003F50BC"/>
    <w:pPr>
      <w:keepNext/>
      <w:outlineLvl w:val="2"/>
    </w:pPr>
    <w:rPr>
      <w:b/>
      <w:bCs/>
      <w:sz w:val="28"/>
    </w:rPr>
  </w:style>
  <w:style w:type="paragraph" w:styleId="Heading4">
    <w:name w:val="heading 4"/>
    <w:basedOn w:val="Normal"/>
    <w:next w:val="Normal"/>
    <w:link w:val="Heading4Char"/>
    <w:uiPriority w:val="9"/>
    <w:semiHidden/>
    <w:unhideWhenUsed/>
    <w:qFormat/>
    <w:rsid w:val="003F50BC"/>
    <w:pPr>
      <w:keepNext/>
      <w:outlineLvl w:val="3"/>
    </w:pPr>
    <w:rPr>
      <w:b/>
      <w:bCs/>
      <w:i/>
      <w:iCs/>
    </w:rPr>
  </w:style>
  <w:style w:type="paragraph" w:styleId="Heading5">
    <w:name w:val="heading 5"/>
    <w:basedOn w:val="Normal"/>
    <w:next w:val="Normal"/>
    <w:link w:val="Heading5Char"/>
    <w:uiPriority w:val="9"/>
    <w:semiHidden/>
    <w:unhideWhenUsed/>
    <w:qFormat/>
    <w:rsid w:val="003F50BC"/>
    <w:pPr>
      <w:keepNext/>
      <w:outlineLvl w:val="4"/>
    </w:pPr>
    <w:rPr>
      <w:bCs/>
      <w:i/>
    </w:rPr>
  </w:style>
  <w:style w:type="paragraph" w:styleId="Heading6">
    <w:name w:val="heading 6"/>
    <w:basedOn w:val="Normal"/>
    <w:next w:val="Normal"/>
    <w:link w:val="Heading6Char"/>
    <w:uiPriority w:val="9"/>
    <w:semiHidden/>
    <w:unhideWhenUsed/>
    <w:qFormat/>
    <w:rsid w:val="003F50BC"/>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3F50BC"/>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3F50B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F50B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BC"/>
    <w:pPr>
      <w:ind w:left="720"/>
    </w:pPr>
  </w:style>
  <w:style w:type="paragraph" w:styleId="Header">
    <w:name w:val="header"/>
    <w:basedOn w:val="Normal"/>
    <w:link w:val="HeaderChar"/>
    <w:uiPriority w:val="99"/>
    <w:unhideWhenUsed/>
    <w:rsid w:val="00813C2C"/>
    <w:pPr>
      <w:tabs>
        <w:tab w:val="center" w:pos="4680"/>
        <w:tab w:val="right" w:pos="9360"/>
      </w:tabs>
      <w:spacing w:after="0"/>
    </w:pPr>
  </w:style>
  <w:style w:type="character" w:customStyle="1" w:styleId="HeaderChar">
    <w:name w:val="Header Char"/>
    <w:basedOn w:val="DefaultParagraphFont"/>
    <w:link w:val="Header"/>
    <w:uiPriority w:val="99"/>
    <w:rsid w:val="00813C2C"/>
  </w:style>
  <w:style w:type="paragraph" w:styleId="Footer">
    <w:name w:val="footer"/>
    <w:basedOn w:val="Normal"/>
    <w:link w:val="FooterChar"/>
    <w:uiPriority w:val="99"/>
    <w:unhideWhenUsed/>
    <w:rsid w:val="00813C2C"/>
    <w:pPr>
      <w:tabs>
        <w:tab w:val="center" w:pos="4680"/>
        <w:tab w:val="right" w:pos="9360"/>
      </w:tabs>
      <w:spacing w:after="0"/>
    </w:pPr>
  </w:style>
  <w:style w:type="character" w:customStyle="1" w:styleId="FooterChar">
    <w:name w:val="Footer Char"/>
    <w:basedOn w:val="DefaultParagraphFont"/>
    <w:link w:val="Footer"/>
    <w:uiPriority w:val="99"/>
    <w:rsid w:val="00813C2C"/>
  </w:style>
  <w:style w:type="table" w:styleId="TableGrid">
    <w:name w:val="Table Grid"/>
    <w:basedOn w:val="TableNormal"/>
    <w:uiPriority w:val="39"/>
    <w:rsid w:val="004A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F50BC"/>
    <w:pPr>
      <w:spacing w:after="0"/>
    </w:pPr>
  </w:style>
  <w:style w:type="paragraph" w:styleId="BalloonText">
    <w:name w:val="Balloon Text"/>
    <w:basedOn w:val="Normal"/>
    <w:link w:val="BalloonTextChar"/>
    <w:uiPriority w:val="99"/>
    <w:semiHidden/>
    <w:unhideWhenUsed/>
    <w:rsid w:val="00C742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5C"/>
    <w:rPr>
      <w:rFonts w:ascii="Tahoma" w:hAnsi="Tahoma" w:cs="Tahoma"/>
      <w:sz w:val="16"/>
      <w:szCs w:val="16"/>
    </w:rPr>
  </w:style>
  <w:style w:type="character" w:customStyle="1" w:styleId="Heading1Char">
    <w:name w:val="Heading 1 Char"/>
    <w:link w:val="Heading1"/>
    <w:uiPriority w:val="9"/>
    <w:rsid w:val="003F50BC"/>
    <w:rPr>
      <w:rFonts w:eastAsia="Cambria"/>
      <w:b/>
      <w:bCs/>
      <w:sz w:val="48"/>
      <w:szCs w:val="28"/>
    </w:rPr>
  </w:style>
  <w:style w:type="character" w:customStyle="1" w:styleId="Heading2Char">
    <w:name w:val="Heading 2 Char"/>
    <w:link w:val="Heading2"/>
    <w:uiPriority w:val="9"/>
    <w:rsid w:val="003F50BC"/>
    <w:rPr>
      <w:b/>
      <w:bCs/>
      <w:sz w:val="36"/>
      <w:szCs w:val="26"/>
    </w:rPr>
  </w:style>
  <w:style w:type="character" w:customStyle="1" w:styleId="Heading3Char">
    <w:name w:val="Heading 3 Char"/>
    <w:link w:val="Heading3"/>
    <w:uiPriority w:val="9"/>
    <w:semiHidden/>
    <w:rsid w:val="003F50BC"/>
    <w:rPr>
      <w:b/>
      <w:bCs/>
      <w:sz w:val="28"/>
      <w:szCs w:val="22"/>
    </w:rPr>
  </w:style>
  <w:style w:type="character" w:customStyle="1" w:styleId="Heading4Char">
    <w:name w:val="Heading 4 Char"/>
    <w:link w:val="Heading4"/>
    <w:uiPriority w:val="9"/>
    <w:semiHidden/>
    <w:rsid w:val="003F50BC"/>
    <w:rPr>
      <w:b/>
      <w:bCs/>
      <w:i/>
      <w:iCs/>
      <w:sz w:val="24"/>
      <w:szCs w:val="22"/>
    </w:rPr>
  </w:style>
  <w:style w:type="character" w:customStyle="1" w:styleId="Heading5Char">
    <w:name w:val="Heading 5 Char"/>
    <w:link w:val="Heading5"/>
    <w:uiPriority w:val="9"/>
    <w:semiHidden/>
    <w:rsid w:val="003F50BC"/>
    <w:rPr>
      <w:bCs/>
      <w:i/>
      <w:sz w:val="24"/>
      <w:szCs w:val="22"/>
    </w:rPr>
  </w:style>
  <w:style w:type="character" w:customStyle="1" w:styleId="Heading6Char">
    <w:name w:val="Heading 6 Char"/>
    <w:link w:val="Heading6"/>
    <w:uiPriority w:val="9"/>
    <w:semiHidden/>
    <w:rsid w:val="003F50BC"/>
    <w:rPr>
      <w:rFonts w:ascii="Cambria" w:hAnsi="Cambria"/>
      <w:b/>
      <w:bCs/>
      <w:i/>
      <w:iCs/>
      <w:color w:val="7F7F7F"/>
    </w:rPr>
  </w:style>
  <w:style w:type="character" w:customStyle="1" w:styleId="Heading7Char">
    <w:name w:val="Heading 7 Char"/>
    <w:link w:val="Heading7"/>
    <w:uiPriority w:val="9"/>
    <w:semiHidden/>
    <w:rsid w:val="003F50BC"/>
    <w:rPr>
      <w:rFonts w:ascii="Cambria" w:hAnsi="Cambria"/>
      <w:i/>
      <w:iCs/>
    </w:rPr>
  </w:style>
  <w:style w:type="character" w:customStyle="1" w:styleId="Heading8Char">
    <w:name w:val="Heading 8 Char"/>
    <w:link w:val="Heading8"/>
    <w:uiPriority w:val="9"/>
    <w:semiHidden/>
    <w:rsid w:val="003F50BC"/>
    <w:rPr>
      <w:rFonts w:ascii="Cambria" w:hAnsi="Cambria"/>
    </w:rPr>
  </w:style>
  <w:style w:type="character" w:customStyle="1" w:styleId="Heading9Char">
    <w:name w:val="Heading 9 Char"/>
    <w:link w:val="Heading9"/>
    <w:uiPriority w:val="9"/>
    <w:semiHidden/>
    <w:rsid w:val="003F50BC"/>
    <w:rPr>
      <w:rFonts w:ascii="Cambria" w:hAnsi="Cambria"/>
      <w:i/>
      <w:iCs/>
      <w:spacing w:val="5"/>
    </w:rPr>
  </w:style>
  <w:style w:type="paragraph" w:styleId="Subtitle">
    <w:name w:val="Subtitle"/>
    <w:basedOn w:val="Normal"/>
    <w:next w:val="Normal"/>
    <w:link w:val="SubtitleChar"/>
    <w:uiPriority w:val="11"/>
    <w:qFormat/>
    <w:rsid w:val="003F50BC"/>
    <w:rPr>
      <w:i/>
      <w:iCs/>
      <w:smallCaps/>
      <w:spacing w:val="13"/>
      <w:szCs w:val="24"/>
    </w:rPr>
  </w:style>
  <w:style w:type="character" w:customStyle="1" w:styleId="SubtitleChar">
    <w:name w:val="Subtitle Char"/>
    <w:link w:val="Subtitle"/>
    <w:uiPriority w:val="11"/>
    <w:rsid w:val="003F50BC"/>
    <w:rPr>
      <w:i/>
      <w:iCs/>
      <w:smallCaps/>
      <w:spacing w:val="13"/>
      <w:sz w:val="24"/>
      <w:szCs w:val="24"/>
    </w:rPr>
  </w:style>
  <w:style w:type="character" w:styleId="Strong">
    <w:name w:val="Strong"/>
    <w:uiPriority w:val="22"/>
    <w:qFormat/>
    <w:rsid w:val="003F50BC"/>
    <w:rPr>
      <w:b/>
      <w:bCs/>
    </w:rPr>
  </w:style>
  <w:style w:type="character" w:styleId="Emphasis">
    <w:name w:val="Emphasis"/>
    <w:uiPriority w:val="20"/>
    <w:qFormat/>
    <w:rsid w:val="003F50BC"/>
    <w:rPr>
      <w:b/>
      <w:bCs/>
      <w:i/>
      <w:iCs/>
      <w:spacing w:val="10"/>
      <w:bdr w:val="none" w:sz="0" w:space="0" w:color="auto"/>
      <w:shd w:val="clear" w:color="auto" w:fill="auto"/>
    </w:rPr>
  </w:style>
  <w:style w:type="paragraph" w:styleId="Quote">
    <w:name w:val="Quote"/>
    <w:basedOn w:val="Normal"/>
    <w:next w:val="Normal"/>
    <w:link w:val="QuoteChar"/>
    <w:uiPriority w:val="29"/>
    <w:qFormat/>
    <w:rsid w:val="003F50BC"/>
    <w:pPr>
      <w:spacing w:before="200" w:after="0"/>
      <w:ind w:left="360" w:right="360"/>
    </w:pPr>
    <w:rPr>
      <w:i/>
      <w:iCs/>
      <w:sz w:val="20"/>
      <w:szCs w:val="20"/>
    </w:rPr>
  </w:style>
  <w:style w:type="character" w:customStyle="1" w:styleId="QuoteChar">
    <w:name w:val="Quote Char"/>
    <w:link w:val="Quote"/>
    <w:uiPriority w:val="29"/>
    <w:rsid w:val="003F50BC"/>
    <w:rPr>
      <w:i/>
      <w:iCs/>
    </w:rPr>
  </w:style>
  <w:style w:type="paragraph" w:styleId="IntenseQuote">
    <w:name w:val="Intense Quote"/>
    <w:basedOn w:val="Normal"/>
    <w:next w:val="Normal"/>
    <w:link w:val="IntenseQuoteChar"/>
    <w:uiPriority w:val="30"/>
    <w:qFormat/>
    <w:rsid w:val="003F50BC"/>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3F50BC"/>
    <w:rPr>
      <w:b/>
      <w:bCs/>
      <w:i/>
      <w:iCs/>
    </w:rPr>
  </w:style>
  <w:style w:type="character" w:styleId="SubtleEmphasis">
    <w:name w:val="Subtle Emphasis"/>
    <w:uiPriority w:val="19"/>
    <w:qFormat/>
    <w:rsid w:val="003F50BC"/>
    <w:rPr>
      <w:i/>
      <w:iCs/>
    </w:rPr>
  </w:style>
  <w:style w:type="character" w:styleId="IntenseEmphasis">
    <w:name w:val="Intense Emphasis"/>
    <w:uiPriority w:val="21"/>
    <w:qFormat/>
    <w:rsid w:val="003F50BC"/>
    <w:rPr>
      <w:b/>
      <w:bCs/>
    </w:rPr>
  </w:style>
  <w:style w:type="character" w:styleId="SubtleReference">
    <w:name w:val="Subtle Reference"/>
    <w:uiPriority w:val="31"/>
    <w:qFormat/>
    <w:rsid w:val="003F50BC"/>
    <w:rPr>
      <w:smallCaps/>
    </w:rPr>
  </w:style>
  <w:style w:type="character" w:styleId="IntenseReference">
    <w:name w:val="Intense Reference"/>
    <w:uiPriority w:val="32"/>
    <w:qFormat/>
    <w:rsid w:val="003F50BC"/>
    <w:rPr>
      <w:smallCaps/>
      <w:spacing w:val="5"/>
      <w:u w:val="single"/>
    </w:rPr>
  </w:style>
  <w:style w:type="character" w:styleId="BookTitle">
    <w:name w:val="Book Title"/>
    <w:uiPriority w:val="33"/>
    <w:qFormat/>
    <w:rsid w:val="003F50BC"/>
    <w:rPr>
      <w:i/>
      <w:iCs/>
      <w:smallCaps/>
      <w:spacing w:val="5"/>
    </w:rPr>
  </w:style>
  <w:style w:type="paragraph" w:styleId="TOCHeading">
    <w:name w:val="TOC Heading"/>
    <w:basedOn w:val="Heading1"/>
    <w:next w:val="Normal"/>
    <w:uiPriority w:val="39"/>
    <w:semiHidden/>
    <w:unhideWhenUsed/>
    <w:qFormat/>
    <w:rsid w:val="003F50BC"/>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8504">
      <w:bodyDiv w:val="1"/>
      <w:marLeft w:val="0"/>
      <w:marRight w:val="0"/>
      <w:marTop w:val="0"/>
      <w:marBottom w:val="0"/>
      <w:divBdr>
        <w:top w:val="none" w:sz="0" w:space="0" w:color="auto"/>
        <w:left w:val="none" w:sz="0" w:space="0" w:color="auto"/>
        <w:bottom w:val="none" w:sz="0" w:space="0" w:color="auto"/>
        <w:right w:val="none" w:sz="0" w:space="0" w:color="auto"/>
      </w:divBdr>
    </w:div>
    <w:div w:id="2035960681">
      <w:bodyDiv w:val="1"/>
      <w:marLeft w:val="0"/>
      <w:marRight w:val="0"/>
      <w:marTop w:val="0"/>
      <w:marBottom w:val="0"/>
      <w:divBdr>
        <w:top w:val="none" w:sz="0" w:space="0" w:color="auto"/>
        <w:left w:val="none" w:sz="0" w:space="0" w:color="auto"/>
        <w:bottom w:val="none" w:sz="0" w:space="0" w:color="auto"/>
        <w:right w:val="none" w:sz="0" w:space="0" w:color="auto"/>
      </w:divBdr>
      <w:divsChild>
        <w:div w:id="238177012">
          <w:marLeft w:val="806"/>
          <w:marRight w:val="0"/>
          <w:marTop w:val="134"/>
          <w:marBottom w:val="0"/>
          <w:divBdr>
            <w:top w:val="none" w:sz="0" w:space="0" w:color="auto"/>
            <w:left w:val="none" w:sz="0" w:space="0" w:color="auto"/>
            <w:bottom w:val="none" w:sz="0" w:space="0" w:color="auto"/>
            <w:right w:val="none" w:sz="0" w:space="0" w:color="auto"/>
          </w:divBdr>
        </w:div>
        <w:div w:id="472142446">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DEED VRS</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Reconciliation Review of Year One</dc:title>
  <dc:subject>Grantees</dc:subject>
  <dc:creator/>
  <cp:lastModifiedBy>Kelly Schneider</cp:lastModifiedBy>
  <cp:revision>4</cp:revision>
  <cp:lastPrinted>2014-09-30T18:21:00Z</cp:lastPrinted>
  <dcterms:created xsi:type="dcterms:W3CDTF">2014-10-15T19:09:00Z</dcterms:created>
  <dcterms:modified xsi:type="dcterms:W3CDTF">2015-11-09T17:02:00Z</dcterms:modified>
</cp:coreProperties>
</file>