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CEAD" w14:textId="77777777" w:rsidR="007242A7" w:rsidRPr="007242A7" w:rsidRDefault="007242A7" w:rsidP="007242A7">
      <w:pPr>
        <w:keepNext/>
        <w:keepLines/>
        <w:spacing w:before="40" w:after="0" w:line="276" w:lineRule="auto"/>
        <w:outlineLvl w:val="1"/>
        <w:rPr>
          <w:rFonts w:ascii="Times New Roman" w:eastAsia="Times New Roman" w:hAnsi="Times New Roman" w:cs="Times New Roman"/>
          <w:b/>
          <w:color w:val="000000"/>
          <w:sz w:val="24"/>
          <w:szCs w:val="24"/>
          <w:lang w:val="en"/>
          <w14:textOutline w14:w="0" w14:cap="flat" w14:cmpd="sng" w14:algn="ctr">
            <w14:noFill/>
            <w14:prstDash w14:val="solid"/>
            <w14:round/>
          </w14:textOutline>
        </w:rPr>
      </w:pPr>
      <w:r>
        <w:rPr>
          <w:rFonts w:ascii="Times New Roman" w:eastAsia="Times New Roman" w:hAnsi="Times New Roman" w:cs="Times New Roman"/>
          <w:b/>
          <w:color w:val="000000"/>
          <w:sz w:val="48"/>
          <w:szCs w:val="48"/>
          <w:lang w:val="en"/>
          <w14:textOutline w14:w="0" w14:cap="flat" w14:cmpd="sng" w14:algn="ctr">
            <w14:noFill/>
            <w14:prstDash w14:val="solid"/>
            <w14:round/>
          </w14:textOutline>
        </w:rPr>
        <w:t>WIOA Young Adult Program</w:t>
      </w:r>
    </w:p>
    <w:p w14:paraId="069F969F" w14:textId="77777777" w:rsidR="007242A7" w:rsidRPr="007242A7" w:rsidRDefault="00DC0DA1" w:rsidP="007242A7">
      <w:pPr>
        <w:keepNext/>
        <w:keepLines/>
        <w:spacing w:before="240" w:after="0" w:line="276" w:lineRule="auto"/>
        <w:outlineLvl w:val="1"/>
        <w:rPr>
          <w:rFonts w:ascii="Times New Roman" w:eastAsia="Times New Roman" w:hAnsi="Times New Roman" w:cs="Times New Roman"/>
          <w:b/>
          <w:color w:val="000000"/>
          <w:sz w:val="28"/>
          <w:szCs w:val="28"/>
          <w:lang w:val="en"/>
          <w14:textOutline w14:w="0" w14:cap="flat" w14:cmpd="sng" w14:algn="ctr">
            <w14:noFill/>
            <w14:prstDash w14:val="solid"/>
            <w14:round/>
          </w14:textOutline>
        </w:rPr>
      </w:pPr>
      <w:r>
        <w:rPr>
          <w:rFonts w:ascii="Times New Roman" w:eastAsia="Times New Roman" w:hAnsi="Times New Roman" w:cs="Times New Roman"/>
          <w:b/>
          <w:color w:val="000000"/>
          <w:sz w:val="28"/>
          <w:szCs w:val="28"/>
          <w:lang w:val="en"/>
          <w14:textOutline w14:w="0" w14:cap="flat" w14:cmpd="sng" w14:algn="ctr">
            <w14:noFill/>
            <w14:prstDash w14:val="solid"/>
            <w14:round/>
          </w14:textOutline>
        </w:rPr>
        <w:t>Chapter 12</w:t>
      </w:r>
      <w:r w:rsidR="007242A7" w:rsidRPr="007242A7">
        <w:rPr>
          <w:rFonts w:ascii="Times New Roman" w:eastAsia="Times New Roman" w:hAnsi="Times New Roman" w:cs="Times New Roman"/>
          <w:b/>
          <w:color w:val="000000"/>
          <w:sz w:val="28"/>
          <w:szCs w:val="28"/>
          <w:lang w:val="en"/>
          <w14:textOutline w14:w="0" w14:cap="flat" w14:cmpd="sng" w14:algn="ctr">
            <w14:noFill/>
            <w14:prstDash w14:val="solid"/>
            <w14:round/>
          </w14:textOutline>
        </w:rPr>
        <w:t xml:space="preserve">: </w:t>
      </w:r>
      <w:r w:rsidR="00E169C5">
        <w:rPr>
          <w:rFonts w:ascii="Times New Roman" w:eastAsia="Times New Roman" w:hAnsi="Times New Roman" w:cs="Times New Roman"/>
          <w:b/>
          <w:color w:val="000000"/>
          <w:sz w:val="28"/>
          <w:szCs w:val="28"/>
          <w:lang w:val="en"/>
          <w14:textOutline w14:w="0" w14:cap="flat" w14:cmpd="sng" w14:algn="ctr">
            <w14:noFill/>
            <w14:prstDash w14:val="solid"/>
            <w14:round/>
          </w14:textOutline>
        </w:rPr>
        <w:t>Individual Training Accounts (ITAs)</w:t>
      </w:r>
    </w:p>
    <w:p w14:paraId="33620816" w14:textId="04583952" w:rsidR="007242A7" w:rsidRPr="007242A7" w:rsidRDefault="007242A7" w:rsidP="007242A7">
      <w:pPr>
        <w:spacing w:before="100" w:beforeAutospacing="1" w:after="100" w:afterAutospacing="1" w:line="240" w:lineRule="auto"/>
        <w:rPr>
          <w:rFonts w:ascii="Times New Roman" w:eastAsia="Times New Roman" w:hAnsi="Times New Roman" w:cs="Times New Roman"/>
          <w:sz w:val="24"/>
          <w:szCs w:val="24"/>
          <w:lang w:val="en"/>
        </w:rPr>
      </w:pPr>
      <w:r w:rsidRPr="007242A7">
        <w:rPr>
          <w:rFonts w:ascii="Times New Roman" w:eastAsia="Calibri" w:hAnsi="Times New Roman" w:cs="Times New Roman"/>
          <w:bCs/>
          <w:kern w:val="36"/>
          <w:sz w:val="24"/>
          <w:szCs w:val="28"/>
        </w:rPr>
        <w:t>Summary</w:t>
      </w:r>
      <w:r w:rsidRPr="007242A7">
        <w:rPr>
          <w:rFonts w:ascii="Times New Roman" w:eastAsia="Times New Roman" w:hAnsi="Times New Roman" w:cs="Times New Roman"/>
          <w:sz w:val="24"/>
          <w:szCs w:val="24"/>
          <w:lang w:val="en"/>
        </w:rPr>
        <w:t xml:space="preserve"> </w:t>
      </w:r>
      <w:r w:rsidRPr="007242A7">
        <w:rPr>
          <w:rFonts w:ascii="Times New Roman" w:eastAsia="Times New Roman" w:hAnsi="Times New Roman" w:cs="Times New Roman"/>
          <w:sz w:val="24"/>
          <w:szCs w:val="24"/>
          <w:lang w:val="en"/>
        </w:rPr>
        <w:br/>
        <w:t xml:space="preserve">Individual Training Accounts </w:t>
      </w:r>
      <w:r w:rsidR="0092677E">
        <w:rPr>
          <w:rFonts w:ascii="Times New Roman" w:eastAsia="Times New Roman" w:hAnsi="Times New Roman" w:cs="Times New Roman"/>
          <w:sz w:val="24"/>
          <w:szCs w:val="24"/>
          <w:lang w:val="en"/>
        </w:rPr>
        <w:t xml:space="preserve">(ITAs) </w:t>
      </w:r>
      <w:r w:rsidR="00A565E7">
        <w:rPr>
          <w:rFonts w:ascii="Times New Roman" w:eastAsia="Times New Roman" w:hAnsi="Times New Roman" w:cs="Times New Roman"/>
          <w:sz w:val="24"/>
          <w:szCs w:val="24"/>
          <w:lang w:val="en"/>
        </w:rPr>
        <w:t>can be an</w:t>
      </w:r>
      <w:r w:rsidRPr="007242A7">
        <w:rPr>
          <w:rFonts w:ascii="Times New Roman" w:eastAsia="Times New Roman" w:hAnsi="Times New Roman" w:cs="Times New Roman"/>
          <w:sz w:val="24"/>
          <w:szCs w:val="24"/>
          <w:lang w:val="en"/>
        </w:rPr>
        <w:t xml:space="preserve"> important tool in </w:t>
      </w:r>
      <w:r w:rsidRPr="001D3F6D">
        <w:rPr>
          <w:rFonts w:ascii="Times New Roman" w:eastAsia="Times New Roman" w:hAnsi="Times New Roman" w:cs="Times New Roman"/>
          <w:sz w:val="24"/>
          <w:szCs w:val="24"/>
          <w:lang w:val="en"/>
        </w:rPr>
        <w:t xml:space="preserve">assisting </w:t>
      </w:r>
      <w:r w:rsidR="009A75A0" w:rsidRPr="001D3F6D">
        <w:rPr>
          <w:rFonts w:ascii="Times New Roman" w:eastAsia="Times New Roman" w:hAnsi="Times New Roman" w:cs="Times New Roman"/>
          <w:sz w:val="24"/>
          <w:szCs w:val="24"/>
          <w:lang w:val="en"/>
        </w:rPr>
        <w:t xml:space="preserve">both in-school youth, ages </w:t>
      </w:r>
      <w:r w:rsidR="00D90891" w:rsidRPr="001D3F6D">
        <w:rPr>
          <w:rFonts w:ascii="Times New Roman" w:eastAsia="Times New Roman" w:hAnsi="Times New Roman" w:cs="Times New Roman"/>
          <w:sz w:val="24"/>
          <w:szCs w:val="24"/>
          <w:lang w:val="en"/>
        </w:rPr>
        <w:t>16-21</w:t>
      </w:r>
      <w:r w:rsidR="009A75A0" w:rsidRPr="001D3F6D">
        <w:rPr>
          <w:rFonts w:ascii="Times New Roman" w:eastAsia="Times New Roman" w:hAnsi="Times New Roman" w:cs="Times New Roman"/>
          <w:sz w:val="24"/>
          <w:szCs w:val="24"/>
          <w:lang w:val="en"/>
        </w:rPr>
        <w:t xml:space="preserve">, and </w:t>
      </w:r>
      <w:r w:rsidRPr="001D3F6D">
        <w:rPr>
          <w:rFonts w:ascii="Times New Roman" w:eastAsia="Times New Roman" w:hAnsi="Times New Roman" w:cs="Times New Roman"/>
          <w:sz w:val="24"/>
          <w:szCs w:val="24"/>
          <w:lang w:val="en"/>
        </w:rPr>
        <w:t>out-of-school youth, ages 16-24, in completing educ</w:t>
      </w:r>
      <w:r w:rsidRPr="007242A7">
        <w:rPr>
          <w:rFonts w:ascii="Times New Roman" w:eastAsia="Times New Roman" w:hAnsi="Times New Roman" w:cs="Times New Roman"/>
          <w:sz w:val="24"/>
          <w:szCs w:val="24"/>
          <w:lang w:val="en"/>
        </w:rPr>
        <w:t>ation and training coursework as part of a career pathway.</w:t>
      </w:r>
    </w:p>
    <w:p w14:paraId="52DD01EB" w14:textId="77777777" w:rsidR="007242A7" w:rsidRPr="007242A7" w:rsidRDefault="007242A7" w:rsidP="007242A7">
      <w:pPr>
        <w:spacing w:after="0" w:line="240" w:lineRule="auto"/>
        <w:rPr>
          <w:rFonts w:ascii="Times New Roman" w:eastAsia="Times New Roman" w:hAnsi="Times New Roman" w:cs="Times New Roman"/>
          <w:color w:val="0000FF"/>
          <w:sz w:val="24"/>
          <w:szCs w:val="24"/>
          <w:u w:val="single"/>
          <w:lang w:val="en"/>
        </w:rPr>
      </w:pPr>
      <w:r w:rsidRPr="007242A7">
        <w:rPr>
          <w:rFonts w:ascii="Times New Roman" w:eastAsia="Times New Roman" w:hAnsi="Times New Roman" w:cs="Times New Roman"/>
          <w:sz w:val="24"/>
          <w:szCs w:val="24"/>
          <w:lang w:val="en"/>
        </w:rPr>
        <w:t xml:space="preserve">Relevant Laws, Rules, or Policies </w:t>
      </w:r>
      <w:r w:rsidRPr="007242A7">
        <w:rPr>
          <w:rFonts w:ascii="Times New Roman" w:eastAsia="Times New Roman" w:hAnsi="Times New Roman" w:cs="Times New Roman"/>
          <w:sz w:val="24"/>
          <w:szCs w:val="24"/>
          <w:lang w:val="en"/>
        </w:rPr>
        <w:br/>
      </w:r>
      <w:hyperlink r:id="rId11" w:history="1">
        <w:r w:rsidRPr="007242A7">
          <w:rPr>
            <w:rFonts w:ascii="Times New Roman" w:eastAsia="Times New Roman" w:hAnsi="Times New Roman" w:cs="Times New Roman"/>
            <w:color w:val="0000FF"/>
            <w:sz w:val="24"/>
            <w:szCs w:val="24"/>
            <w:u w:val="single"/>
            <w:lang w:val="en"/>
          </w:rPr>
          <w:t>Workforce Innovation and Opportunity Act (Public Law 113-128)</w:t>
        </w:r>
      </w:hyperlink>
    </w:p>
    <w:p w14:paraId="039F6A9E" w14:textId="77777777" w:rsidR="007242A7" w:rsidRPr="005231BA" w:rsidRDefault="007242A7" w:rsidP="007242A7">
      <w:pPr>
        <w:spacing w:after="0" w:line="240" w:lineRule="auto"/>
        <w:rPr>
          <w:rFonts w:ascii="Times New Roman" w:eastAsia="Times New Roman" w:hAnsi="Times New Roman" w:cs="Times New Roman"/>
          <w:color w:val="0000FF"/>
          <w:sz w:val="24"/>
          <w:szCs w:val="24"/>
          <w:u w:val="single"/>
        </w:rPr>
      </w:pPr>
      <w:r w:rsidRPr="005231BA">
        <w:rPr>
          <w:rFonts w:ascii="Times New Roman" w:eastAsia="Times New Roman" w:hAnsi="Times New Roman" w:cs="Times New Roman"/>
          <w:color w:val="0000FF"/>
          <w:sz w:val="24"/>
          <w:szCs w:val="24"/>
          <w:u w:val="single"/>
        </w:rPr>
        <w:fldChar w:fldCharType="begin"/>
      </w:r>
      <w:r w:rsidRPr="005231BA">
        <w:rPr>
          <w:rFonts w:ascii="Times New Roman" w:eastAsia="Times New Roman" w:hAnsi="Times New Roman" w:cs="Times New Roman"/>
          <w:color w:val="0000FF"/>
          <w:sz w:val="24"/>
          <w:szCs w:val="24"/>
          <w:u w:val="single"/>
        </w:rPr>
        <w:instrText xml:space="preserve"> HYPERLINK "https://www.gpo.gov/fdsys/pkg/FR-2016-08-19/pdf/2016-15975.pdf" </w:instrText>
      </w:r>
      <w:r w:rsidRPr="005231BA">
        <w:rPr>
          <w:rFonts w:ascii="Times New Roman" w:eastAsia="Times New Roman" w:hAnsi="Times New Roman" w:cs="Times New Roman"/>
          <w:color w:val="0000FF"/>
          <w:sz w:val="24"/>
          <w:szCs w:val="24"/>
          <w:u w:val="single"/>
        </w:rPr>
      </w:r>
      <w:r w:rsidRPr="005231BA">
        <w:rPr>
          <w:rFonts w:ascii="Times New Roman" w:eastAsia="Times New Roman" w:hAnsi="Times New Roman" w:cs="Times New Roman"/>
          <w:color w:val="0000FF"/>
          <w:sz w:val="24"/>
          <w:szCs w:val="24"/>
          <w:u w:val="single"/>
        </w:rPr>
        <w:fldChar w:fldCharType="separate"/>
      </w:r>
      <w:r w:rsidRPr="005231BA">
        <w:rPr>
          <w:rFonts w:ascii="Times New Roman" w:eastAsia="Times New Roman" w:hAnsi="Times New Roman" w:cs="Times New Roman"/>
          <w:color w:val="0000FF"/>
          <w:sz w:val="24"/>
          <w:szCs w:val="24"/>
          <w:u w:val="single"/>
        </w:rPr>
        <w:t>WIOA Final Rule (Dated 08-19-2016)</w:t>
      </w:r>
    </w:p>
    <w:p w14:paraId="15C9E580" w14:textId="77777777" w:rsidR="007242A7" w:rsidRPr="005231BA" w:rsidRDefault="007242A7" w:rsidP="007242A7">
      <w:pPr>
        <w:spacing w:after="0" w:line="240" w:lineRule="auto"/>
        <w:rPr>
          <w:rFonts w:ascii="Times New Roman" w:eastAsia="Times New Roman" w:hAnsi="Times New Roman" w:cs="Times New Roman"/>
          <w:color w:val="0000FF"/>
          <w:sz w:val="24"/>
          <w:szCs w:val="24"/>
          <w:u w:val="single"/>
        </w:rPr>
      </w:pPr>
      <w:r w:rsidRPr="005231BA">
        <w:rPr>
          <w:rFonts w:ascii="Times New Roman" w:eastAsia="Times New Roman" w:hAnsi="Times New Roman" w:cs="Times New Roman"/>
          <w:color w:val="0000FF"/>
          <w:sz w:val="24"/>
          <w:szCs w:val="24"/>
          <w:u w:val="single"/>
          <w:lang w:val="en"/>
        </w:rPr>
        <w:fldChar w:fldCharType="end"/>
      </w:r>
      <w:hyperlink r:id="rId12" w:history="1">
        <w:r w:rsidRPr="005231BA">
          <w:rPr>
            <w:rFonts w:ascii="Times New Roman" w:eastAsia="Times New Roman" w:hAnsi="Times New Roman" w:cs="Times New Roman"/>
            <w:color w:val="0000FF"/>
            <w:sz w:val="24"/>
            <w:szCs w:val="24"/>
            <w:u w:val="single"/>
          </w:rPr>
          <w:t>WIOA Final Rule: Unified and Combined State Plans, Performance Accountability, and the One-Stop System Joint Provisions (Dated 08-19-2016)</w:t>
        </w:r>
      </w:hyperlink>
    </w:p>
    <w:p w14:paraId="7D761884" w14:textId="77777777" w:rsidR="005231BA" w:rsidRPr="00E47A0A" w:rsidRDefault="00ED066D" w:rsidP="005231BA">
      <w:pPr>
        <w:spacing w:after="0" w:line="240" w:lineRule="auto"/>
        <w:rPr>
          <w:rFonts w:ascii="Times New Roman" w:eastAsia="Times New Roman" w:hAnsi="Times New Roman" w:cs="Times New Roman"/>
          <w:color w:val="0000FF"/>
          <w:sz w:val="24"/>
          <w:szCs w:val="24"/>
          <w:u w:val="single"/>
        </w:rPr>
      </w:pPr>
      <w:hyperlink r:id="rId13" w:history="1">
        <w:r w:rsidR="005231BA" w:rsidRPr="00E47A0A">
          <w:rPr>
            <w:rStyle w:val="Hyperlink"/>
            <w:rFonts w:ascii="Times New Roman" w:eastAsia="Times New Roman" w:hAnsi="Times New Roman" w:cs="Times New Roman"/>
            <w:color w:val="0000FF"/>
            <w:sz w:val="24"/>
            <w:szCs w:val="24"/>
          </w:rPr>
          <w:t xml:space="preserve">U.S. Dept. of Labor Training and Employment Guidance Letter No. 23-14 (Dated 3-26-15) </w:t>
        </w:r>
      </w:hyperlink>
      <w:r w:rsidR="005231BA" w:rsidRPr="00E47A0A">
        <w:rPr>
          <w:rFonts w:ascii="Times New Roman" w:eastAsia="Times New Roman" w:hAnsi="Times New Roman" w:cs="Times New Roman"/>
          <w:color w:val="0000FF"/>
          <w:sz w:val="24"/>
          <w:szCs w:val="24"/>
          <w:u w:val="single"/>
        </w:rPr>
        <w:t xml:space="preserve"> </w:t>
      </w:r>
    </w:p>
    <w:p w14:paraId="369788EC" w14:textId="77777777" w:rsidR="005231BA" w:rsidRPr="00E47A0A" w:rsidRDefault="00ED066D" w:rsidP="005231BA">
      <w:pPr>
        <w:spacing w:after="0" w:line="240" w:lineRule="auto"/>
        <w:rPr>
          <w:rFonts w:ascii="Times New Roman" w:eastAsia="Times New Roman" w:hAnsi="Times New Roman" w:cs="Times New Roman"/>
          <w:color w:val="0000FF"/>
          <w:sz w:val="24"/>
          <w:szCs w:val="24"/>
          <w:u w:val="single"/>
        </w:rPr>
      </w:pPr>
      <w:hyperlink r:id="rId14" w:history="1">
        <w:r w:rsidR="005231BA" w:rsidRPr="00E47A0A">
          <w:rPr>
            <w:rStyle w:val="Hyperlink"/>
            <w:rFonts w:ascii="Times New Roman" w:eastAsia="Times New Roman" w:hAnsi="Times New Roman" w:cs="Times New Roman"/>
            <w:color w:val="0000FF"/>
            <w:sz w:val="24"/>
            <w:szCs w:val="24"/>
          </w:rPr>
          <w:t>U.S. Dept. of Labor Training and Employment Guidance Letter No. 8-15 (Dated 11-17-15)</w:t>
        </w:r>
      </w:hyperlink>
    </w:p>
    <w:p w14:paraId="1211052B" w14:textId="77777777" w:rsidR="00F60B8C" w:rsidRPr="006A66DC" w:rsidRDefault="00ED066D" w:rsidP="00F60B8C">
      <w:pPr>
        <w:pStyle w:val="BodyText"/>
        <w:ind w:left="0" w:right="-590" w:firstLine="0"/>
        <w:rPr>
          <w:rFonts w:eastAsia="Calibri" w:cs="Times New Roman"/>
          <w:color w:val="0000FF"/>
          <w:u w:val="single"/>
        </w:rPr>
      </w:pPr>
      <w:hyperlink r:id="rId15" w:history="1"/>
      <w:hyperlink r:id="rId16" w:history="1">
        <w:r w:rsidR="00A565E7" w:rsidRPr="006A66DC">
          <w:rPr>
            <w:rFonts w:eastAsia="Calibri" w:cs="Times New Roman"/>
            <w:color w:val="0000FF"/>
            <w:u w:val="single"/>
          </w:rPr>
          <w:t>U.S. Dept. of Labor Training and Employment Guidance Letter No. 21-16 (Dated 3-2-17)</w:t>
        </w:r>
      </w:hyperlink>
    </w:p>
    <w:p w14:paraId="22BA5949" w14:textId="77777777" w:rsidR="00C663AC" w:rsidRPr="006A66DC" w:rsidRDefault="00ED066D" w:rsidP="00F60B8C">
      <w:pPr>
        <w:pStyle w:val="BodyText"/>
        <w:ind w:left="0" w:right="-590" w:firstLine="0"/>
        <w:rPr>
          <w:rStyle w:val="Hyperlink"/>
          <w:rFonts w:cs="Times New Roman"/>
          <w:color w:val="0000FF"/>
        </w:rPr>
      </w:pPr>
      <w:hyperlink r:id="rId17" w:history="1">
        <w:r w:rsidR="00A565E7" w:rsidRPr="006A66DC">
          <w:rPr>
            <w:rStyle w:val="Hyperlink"/>
            <w:rFonts w:cs="Times New Roman"/>
            <w:color w:val="0000FF"/>
          </w:rPr>
          <w:t>U.S. Dept. of Labor Training and Employment Guidance Letter No. 7-18 (Dated 12-19-18)</w:t>
        </w:r>
      </w:hyperlink>
      <w:r w:rsidR="00A565E7" w:rsidRPr="006A66DC">
        <w:rPr>
          <w:rStyle w:val="Hyperlink"/>
          <w:rFonts w:cs="Times New Roman"/>
          <w:color w:val="0000FF"/>
        </w:rPr>
        <w:br/>
      </w:r>
      <w:hyperlink r:id="rId18" w:history="1">
        <w:r w:rsidR="00A565E7" w:rsidRPr="006A66DC">
          <w:rPr>
            <w:rStyle w:val="Hyperlink"/>
            <w:rFonts w:cs="Times New Roman"/>
            <w:color w:val="0000FF"/>
          </w:rPr>
          <w:t>U.S. Dept. of Labor Training and Employment Guidance Letter No. 14-18 (Dated 3-25-19)</w:t>
        </w:r>
      </w:hyperlink>
    </w:p>
    <w:p w14:paraId="071C3546" w14:textId="63784ADC" w:rsidR="008C7AE7" w:rsidRPr="006A66DC" w:rsidRDefault="00ED066D" w:rsidP="00C663AC">
      <w:pPr>
        <w:pStyle w:val="NoSpacing"/>
        <w:jc w:val="left"/>
        <w:rPr>
          <w:rStyle w:val="Hyperlink"/>
          <w:rFonts w:ascii="Times New Roman" w:eastAsia="Arial" w:hAnsi="Times New Roman" w:cs="Times New Roman"/>
          <w:sz w:val="24"/>
          <w:szCs w:val="24"/>
        </w:rPr>
      </w:pPr>
      <w:hyperlink r:id="rId19" w:history="1">
        <w:r w:rsidR="00C663AC" w:rsidRPr="006A66DC">
          <w:rPr>
            <w:rStyle w:val="Hyperlink"/>
            <w:rFonts w:ascii="Times New Roman" w:eastAsia="Times New Roman" w:hAnsi="Times New Roman" w:cs="Times New Roman"/>
            <w:sz w:val="24"/>
            <w:szCs w:val="18"/>
          </w:rPr>
          <w:t>U.S. Dept. of Labor Training and Employment Guidance Letter No. 11-19 (Dated 2-6-20)</w:t>
        </w:r>
      </w:hyperlink>
      <w:r w:rsidR="00A565E7" w:rsidRPr="006A66DC">
        <w:rPr>
          <w:rStyle w:val="Hyperlink"/>
          <w:rFonts w:ascii="Times New Roman" w:hAnsi="Times New Roman" w:cs="Times New Roman"/>
          <w:color w:val="0000FF"/>
          <w:sz w:val="24"/>
          <w:szCs w:val="24"/>
        </w:rPr>
        <w:br/>
      </w:r>
      <w:hyperlink r:id="rId20" w:history="1">
        <w:r w:rsidR="00A565E7" w:rsidRPr="006A66DC">
          <w:rPr>
            <w:rStyle w:val="Hyperlink"/>
            <w:rFonts w:ascii="Times New Roman" w:hAnsi="Times New Roman" w:cs="Times New Roman"/>
            <w:color w:val="0000FF"/>
            <w:sz w:val="24"/>
            <w:szCs w:val="24"/>
          </w:rPr>
          <w:t>U.S. Dept. of Labor Training and Employment Notice No. 22-19 (Dated 4-3-20)</w:t>
        </w:r>
      </w:hyperlink>
      <w:r w:rsidR="00A565E7" w:rsidRPr="006A66DC">
        <w:rPr>
          <w:rStyle w:val="Hyperlink"/>
          <w:rFonts w:ascii="Times New Roman" w:hAnsi="Times New Roman" w:cs="Times New Roman"/>
          <w:color w:val="0000FF"/>
          <w:sz w:val="24"/>
          <w:szCs w:val="24"/>
        </w:rPr>
        <w:br/>
      </w:r>
      <w:hyperlink r:id="rId21" w:history="1">
        <w:r w:rsidR="00A565E7" w:rsidRPr="006A66DC">
          <w:rPr>
            <w:rStyle w:val="Hyperlink"/>
            <w:rFonts w:ascii="Times New Roman" w:hAnsi="Times New Roman" w:cs="Times New Roman"/>
            <w:sz w:val="24"/>
            <w:szCs w:val="24"/>
          </w:rPr>
          <w:t>Office of Management and Budget Code of Federal Regulations 2 CFR 200</w:t>
        </w:r>
      </w:hyperlink>
      <w:r w:rsidR="00A565E7" w:rsidRPr="006A66DC">
        <w:rPr>
          <w:rStyle w:val="Hyperlink"/>
          <w:rFonts w:ascii="Times New Roman" w:hAnsi="Times New Roman" w:cs="Times New Roman"/>
          <w:sz w:val="24"/>
          <w:szCs w:val="24"/>
        </w:rPr>
        <w:t xml:space="preserve"> (Uniform Guidance)</w:t>
      </w:r>
      <w:r w:rsidR="00A565E7" w:rsidRPr="006A66DC">
        <w:rPr>
          <w:rStyle w:val="Hyperlink"/>
          <w:rFonts w:ascii="Times New Roman" w:hAnsi="Times New Roman" w:cs="Times New Roman"/>
          <w:sz w:val="24"/>
          <w:szCs w:val="24"/>
        </w:rPr>
        <w:br/>
      </w:r>
      <w:hyperlink r:id="rId22" w:history="1">
        <w:r w:rsidR="00A565E7" w:rsidRPr="006A66DC">
          <w:rPr>
            <w:rStyle w:val="Hyperlink"/>
            <w:rFonts w:ascii="Times New Roman" w:hAnsi="Times New Roman" w:cs="Times New Roman"/>
            <w:color w:val="0000FF"/>
            <w:sz w:val="24"/>
            <w:szCs w:val="24"/>
          </w:rPr>
          <w:t>U.S. Dept. of Labor Training and Employment Notice No. 12-21 (Dated 10-15-21)</w:t>
        </w:r>
      </w:hyperlink>
      <w:r w:rsidR="00A565E7" w:rsidRPr="006A66DC">
        <w:rPr>
          <w:rStyle w:val="Hyperlink"/>
          <w:rFonts w:ascii="Times New Roman" w:hAnsi="Times New Roman" w:cs="Times New Roman"/>
          <w:color w:val="0000FF"/>
          <w:sz w:val="24"/>
          <w:szCs w:val="24"/>
        </w:rPr>
        <w:br/>
      </w:r>
      <w:hyperlink r:id="rId23" w:history="1">
        <w:r w:rsidR="00A565E7" w:rsidRPr="006A66DC">
          <w:rPr>
            <w:rStyle w:val="Hyperlink"/>
            <w:rFonts w:ascii="Times New Roman" w:hAnsi="Times New Roman" w:cs="Times New Roman"/>
            <w:sz w:val="24"/>
            <w:szCs w:val="24"/>
          </w:rPr>
          <w:t>U.S. Dept. of Labor Training and Employment Notice No. 14-21 (Dated 10-27-21)</w:t>
        </w:r>
      </w:hyperlink>
      <w:r w:rsidR="00A565E7" w:rsidRPr="006A66DC">
        <w:rPr>
          <w:rStyle w:val="Hyperlink"/>
          <w:rFonts w:ascii="Times New Roman" w:hAnsi="Times New Roman" w:cs="Times New Roman"/>
          <w:sz w:val="24"/>
          <w:szCs w:val="24"/>
        </w:rPr>
        <w:br/>
      </w:r>
      <w:hyperlink r:id="rId24" w:history="1">
        <w:r w:rsidR="00A565E7" w:rsidRPr="006A66DC">
          <w:rPr>
            <w:rStyle w:val="Hyperlink"/>
            <w:rFonts w:ascii="Times New Roman" w:hAnsi="Times New Roman" w:cs="Times New Roman"/>
            <w:sz w:val="24"/>
            <w:szCs w:val="24"/>
          </w:rPr>
          <w:t>U.S. Dept. of Labor Training and Employment Notice No. 18-21 (Dated 1-4-22)</w:t>
        </w:r>
      </w:hyperlink>
      <w:r w:rsidR="00A565E7" w:rsidRPr="006A66DC">
        <w:rPr>
          <w:rStyle w:val="Hyperlink"/>
          <w:rFonts w:ascii="Times New Roman" w:eastAsia="Calibri" w:hAnsi="Times New Roman" w:cs="Times New Roman"/>
          <w:color w:val="0000FF"/>
          <w:sz w:val="24"/>
          <w:szCs w:val="24"/>
        </w:rPr>
        <w:br/>
      </w:r>
      <w:hyperlink r:id="rId25" w:history="1">
        <w:r w:rsidR="008C7AE7" w:rsidRPr="006A66DC">
          <w:rPr>
            <w:rStyle w:val="Hyperlink"/>
            <w:rFonts w:ascii="Times New Roman" w:eastAsia="Arial" w:hAnsi="Times New Roman" w:cs="Times New Roman"/>
            <w:sz w:val="24"/>
            <w:szCs w:val="24"/>
          </w:rPr>
          <w:t>2018 WIOA Core Monitoring Guide</w:t>
        </w:r>
      </w:hyperlink>
    </w:p>
    <w:p w14:paraId="65F1B11F" w14:textId="77777777" w:rsidR="00C663AC" w:rsidRPr="006A66DC" w:rsidRDefault="00ED066D" w:rsidP="00C663AC">
      <w:pPr>
        <w:pStyle w:val="NoSpacing"/>
        <w:rPr>
          <w:rStyle w:val="Hyperlink"/>
          <w:rFonts w:ascii="Times New Roman" w:hAnsi="Times New Roman" w:cs="Times New Roman"/>
          <w:sz w:val="24"/>
          <w:szCs w:val="24"/>
        </w:rPr>
      </w:pPr>
      <w:hyperlink r:id="rId26" w:history="1">
        <w:r w:rsidR="00C663AC" w:rsidRPr="006A66DC">
          <w:rPr>
            <w:rStyle w:val="Hyperlink"/>
            <w:rFonts w:ascii="Times New Roman" w:hAnsi="Times New Roman" w:cs="Times New Roman"/>
            <w:sz w:val="24"/>
            <w:szCs w:val="24"/>
          </w:rPr>
          <w:t>U.S. Dept. of Labor Training and Employment Guidance Letter No. 10-16, Change 2 (Dated 9-15-22)</w:t>
        </w:r>
      </w:hyperlink>
    </w:p>
    <w:p w14:paraId="0424E5A8" w14:textId="77777777" w:rsidR="00C663AC" w:rsidRPr="006A66DC" w:rsidRDefault="00ED066D" w:rsidP="00C663AC">
      <w:pPr>
        <w:pStyle w:val="NoSpacing"/>
        <w:rPr>
          <w:rStyle w:val="Hyperlink"/>
          <w:rFonts w:ascii="Times New Roman" w:hAnsi="Times New Roman" w:cs="Times New Roman"/>
          <w:sz w:val="24"/>
          <w:szCs w:val="24"/>
        </w:rPr>
      </w:pPr>
      <w:hyperlink r:id="rId27" w:history="1">
        <w:r w:rsidR="00C663AC" w:rsidRPr="006A66DC">
          <w:rPr>
            <w:rStyle w:val="Hyperlink"/>
            <w:rFonts w:ascii="Times New Roman" w:hAnsi="Times New Roman" w:cs="Times New Roman"/>
            <w:sz w:val="24"/>
            <w:szCs w:val="24"/>
          </w:rPr>
          <w:t>U.S. Dept. of Labor Training and Employment Guidance Letter No. 23-19, Change 1 (Dated 10-25-22</w:t>
        </w:r>
      </w:hyperlink>
      <w:r w:rsidR="00C663AC" w:rsidRPr="006A66DC">
        <w:rPr>
          <w:rStyle w:val="Hyperlink"/>
          <w:rFonts w:ascii="Times New Roman" w:hAnsi="Times New Roman" w:cs="Times New Roman"/>
          <w:sz w:val="24"/>
          <w:szCs w:val="24"/>
        </w:rPr>
        <w:t>)</w:t>
      </w:r>
    </w:p>
    <w:p w14:paraId="18DCB3FD" w14:textId="4B104443" w:rsidR="00C663AC" w:rsidRDefault="00ED066D" w:rsidP="00C663AC">
      <w:pPr>
        <w:pStyle w:val="NoSpacing"/>
        <w:jc w:val="left"/>
        <w:rPr>
          <w:rStyle w:val="Hyperlink"/>
          <w:rFonts w:ascii="Times New Roman" w:hAnsi="Times New Roman" w:cs="Times New Roman"/>
          <w:sz w:val="24"/>
          <w:szCs w:val="24"/>
        </w:rPr>
      </w:pPr>
      <w:hyperlink r:id="rId28" w:history="1">
        <w:r w:rsidR="00C663AC" w:rsidRPr="006A66DC">
          <w:rPr>
            <w:rStyle w:val="Hyperlink"/>
            <w:rFonts w:ascii="Times New Roman" w:hAnsi="Times New Roman" w:cs="Times New Roman"/>
            <w:sz w:val="24"/>
            <w:szCs w:val="24"/>
          </w:rPr>
          <w:t>U.S. Dept. of Labor Training and Employment Guidance Letter No. 9-22 (Dated March 2, 2023)</w:t>
        </w:r>
      </w:hyperlink>
    </w:p>
    <w:p w14:paraId="40108DE9" w14:textId="5346F045" w:rsidR="00C663AC" w:rsidRDefault="00ED066D" w:rsidP="00D9407D">
      <w:pPr>
        <w:spacing w:after="0" w:line="240" w:lineRule="auto"/>
        <w:rPr>
          <w:rStyle w:val="Hyperlink"/>
          <w:rFonts w:ascii="Times New Roman" w:hAnsi="Times New Roman" w:cs="Times New Roman"/>
          <w:sz w:val="24"/>
          <w:szCs w:val="24"/>
        </w:rPr>
      </w:pPr>
      <w:hyperlink r:id="rId29" w:history="1">
        <w:r w:rsidR="006A66DC" w:rsidRPr="00254490">
          <w:rPr>
            <w:rStyle w:val="Hyperlink"/>
            <w:rFonts w:ascii="Times New Roman" w:hAnsi="Times New Roman" w:cs="Times New Roman"/>
            <w:sz w:val="24"/>
            <w:szCs w:val="24"/>
          </w:rPr>
          <w:t>U.S. Dept. of Labor Training and Employment Guidance Letter No. 23-19, Change 2 (Dated 5-12-23)</w:t>
        </w:r>
      </w:hyperlink>
    </w:p>
    <w:p w14:paraId="4BC7A98C" w14:textId="77777777" w:rsidR="00D9407D" w:rsidRPr="005401D2" w:rsidRDefault="00ED066D" w:rsidP="00D9407D">
      <w:pPr>
        <w:spacing w:before="4"/>
        <w:rPr>
          <w:rFonts w:ascii="Times New Roman" w:eastAsia="Times New Roman" w:hAnsi="Times New Roman" w:cs="Times New Roman"/>
          <w:color w:val="0000FF"/>
          <w:sz w:val="24"/>
          <w:szCs w:val="18"/>
          <w:u w:val="single"/>
        </w:rPr>
      </w:pPr>
      <w:hyperlink r:id="rId30" w:history="1">
        <w:r w:rsidR="00D9407D" w:rsidRPr="00744EF6">
          <w:rPr>
            <w:rStyle w:val="Hyperlink"/>
            <w:rFonts w:ascii="Times New Roman" w:eastAsia="Times New Roman" w:hAnsi="Times New Roman" w:cs="Times New Roman"/>
            <w:sz w:val="24"/>
            <w:szCs w:val="24"/>
            <w:highlight w:val="yellow"/>
          </w:rPr>
          <w:t xml:space="preserve">U.S. Dept. of Labor Training and Employment Guidance Letter 10-23 (Dated </w:t>
        </w:r>
        <w:r w:rsidR="00D9407D">
          <w:rPr>
            <w:rStyle w:val="Hyperlink"/>
            <w:rFonts w:ascii="Times New Roman" w:eastAsia="Times New Roman" w:hAnsi="Times New Roman" w:cs="Times New Roman"/>
            <w:sz w:val="24"/>
            <w:szCs w:val="24"/>
            <w:highlight w:val="yellow"/>
          </w:rPr>
          <w:t>2-21-24</w:t>
        </w:r>
        <w:r w:rsidR="00D9407D" w:rsidRPr="00744EF6">
          <w:rPr>
            <w:rStyle w:val="Hyperlink"/>
            <w:rFonts w:ascii="Times New Roman" w:eastAsia="Times New Roman" w:hAnsi="Times New Roman" w:cs="Times New Roman"/>
            <w:sz w:val="24"/>
            <w:szCs w:val="24"/>
            <w:highlight w:val="yellow"/>
          </w:rPr>
          <w:t>)</w:t>
        </w:r>
      </w:hyperlink>
    </w:p>
    <w:p w14:paraId="603461DE" w14:textId="550A8639" w:rsidR="008C7AE7" w:rsidRPr="009A75A0" w:rsidRDefault="009A75A0" w:rsidP="0073437C">
      <w:pPr>
        <w:pStyle w:val="NoSpacing"/>
        <w:rPr>
          <w:rFonts w:ascii="Times New Roman" w:hAnsi="Times New Roman" w:cs="Times New Roman"/>
          <w:color w:val="C00000"/>
          <w:sz w:val="24"/>
          <w:szCs w:val="24"/>
          <w:u w:val="single"/>
        </w:rPr>
      </w:pPr>
      <w:r w:rsidRPr="009A75A0">
        <w:rPr>
          <w:rFonts w:ascii="Times New Roman" w:hAnsi="Times New Roman" w:cs="Times New Roman"/>
          <w:color w:val="C00000"/>
          <w:sz w:val="24"/>
          <w:szCs w:val="24"/>
          <w:u w:val="single"/>
        </w:rPr>
        <w:t xml:space="preserve">Approved </w:t>
      </w:r>
      <w:r w:rsidR="00A565E7">
        <w:rPr>
          <w:rFonts w:ascii="Times New Roman" w:hAnsi="Times New Roman" w:cs="Times New Roman"/>
          <w:color w:val="C00000"/>
          <w:sz w:val="24"/>
          <w:szCs w:val="24"/>
          <w:u w:val="single"/>
        </w:rPr>
        <w:t xml:space="preserve">ISY ITA </w:t>
      </w:r>
      <w:r w:rsidRPr="009A75A0">
        <w:rPr>
          <w:rFonts w:ascii="Times New Roman" w:hAnsi="Times New Roman" w:cs="Times New Roman"/>
          <w:color w:val="C00000"/>
          <w:sz w:val="24"/>
          <w:szCs w:val="24"/>
          <w:u w:val="single"/>
        </w:rPr>
        <w:t xml:space="preserve">Waiver Request, dated </w:t>
      </w:r>
      <w:r w:rsidR="00D90891">
        <w:rPr>
          <w:rFonts w:ascii="Times New Roman" w:hAnsi="Times New Roman" w:cs="Times New Roman"/>
          <w:color w:val="C00000"/>
          <w:sz w:val="24"/>
          <w:szCs w:val="24"/>
          <w:u w:val="single"/>
        </w:rPr>
        <w:t xml:space="preserve">June </w:t>
      </w:r>
      <w:r w:rsidR="00CD19F7">
        <w:rPr>
          <w:rFonts w:ascii="Times New Roman" w:hAnsi="Times New Roman" w:cs="Times New Roman"/>
          <w:color w:val="C00000"/>
          <w:sz w:val="24"/>
          <w:szCs w:val="24"/>
          <w:u w:val="single"/>
        </w:rPr>
        <w:t>7, 2022</w:t>
      </w:r>
      <w:r w:rsidR="00054E06">
        <w:rPr>
          <w:rFonts w:ascii="Times New Roman" w:hAnsi="Times New Roman" w:cs="Times New Roman"/>
          <w:color w:val="C00000"/>
          <w:sz w:val="24"/>
          <w:szCs w:val="24"/>
          <w:u w:val="single"/>
        </w:rPr>
        <w:t xml:space="preserve"> (attached)</w:t>
      </w:r>
    </w:p>
    <w:p w14:paraId="549B7EA1" w14:textId="124750EB" w:rsidR="007242A7" w:rsidRPr="001D3F6D" w:rsidRDefault="007242A7" w:rsidP="007242A7">
      <w:pPr>
        <w:spacing w:before="100" w:beforeAutospacing="1" w:after="100" w:afterAutospacing="1" w:line="240" w:lineRule="auto"/>
        <w:rPr>
          <w:rFonts w:ascii="Times New Roman" w:eastAsia="Times New Roman" w:hAnsi="Times New Roman" w:cs="Times New Roman"/>
          <w:sz w:val="24"/>
          <w:szCs w:val="24"/>
          <w:lang w:val="en"/>
        </w:rPr>
      </w:pPr>
      <w:r w:rsidRPr="007242A7">
        <w:rPr>
          <w:rFonts w:ascii="Times New Roman" w:eastAsia="Times New Roman" w:hAnsi="Times New Roman" w:cs="Times New Roman"/>
          <w:sz w:val="24"/>
          <w:szCs w:val="24"/>
          <w:lang w:val="en"/>
        </w:rPr>
        <w:t xml:space="preserve">Effective Date </w:t>
      </w:r>
      <w:r w:rsidRPr="007242A7">
        <w:rPr>
          <w:rFonts w:ascii="Times New Roman" w:eastAsia="Times New Roman" w:hAnsi="Times New Roman" w:cs="Times New Roman"/>
          <w:sz w:val="24"/>
          <w:szCs w:val="24"/>
          <w:lang w:val="en"/>
        </w:rPr>
        <w:br/>
      </w:r>
      <w:r w:rsidR="001D3F6D">
        <w:rPr>
          <w:rFonts w:ascii="Times New Roman" w:eastAsia="Times New Roman" w:hAnsi="Times New Roman" w:cs="Times New Roman"/>
          <w:sz w:val="24"/>
          <w:szCs w:val="24"/>
          <w:lang w:val="en"/>
        </w:rPr>
        <w:t>0</w:t>
      </w:r>
      <w:r w:rsidR="00054E06" w:rsidRPr="001D3F6D">
        <w:rPr>
          <w:rFonts w:ascii="Times New Roman" w:eastAsia="Times New Roman" w:hAnsi="Times New Roman" w:cs="Times New Roman"/>
          <w:sz w:val="24"/>
          <w:szCs w:val="24"/>
          <w:lang w:val="en"/>
        </w:rPr>
        <w:t>6/</w:t>
      </w:r>
      <w:r w:rsidR="001D3F6D">
        <w:rPr>
          <w:rFonts w:ascii="Times New Roman" w:eastAsia="Times New Roman" w:hAnsi="Times New Roman" w:cs="Times New Roman"/>
          <w:sz w:val="24"/>
          <w:szCs w:val="24"/>
          <w:lang w:val="en"/>
        </w:rPr>
        <w:t>0</w:t>
      </w:r>
      <w:r w:rsidR="00054E06" w:rsidRPr="001D3F6D">
        <w:rPr>
          <w:rFonts w:ascii="Times New Roman" w:eastAsia="Times New Roman" w:hAnsi="Times New Roman" w:cs="Times New Roman"/>
          <w:sz w:val="24"/>
          <w:szCs w:val="24"/>
          <w:lang w:val="en"/>
        </w:rPr>
        <w:t>1/20</w:t>
      </w:r>
      <w:r w:rsidR="001D3F6D">
        <w:rPr>
          <w:rFonts w:ascii="Times New Roman" w:eastAsia="Times New Roman" w:hAnsi="Times New Roman" w:cs="Times New Roman"/>
          <w:sz w:val="24"/>
          <w:szCs w:val="24"/>
          <w:lang w:val="en"/>
        </w:rPr>
        <w:t>20</w:t>
      </w:r>
    </w:p>
    <w:p w14:paraId="6C55BF6D" w14:textId="4A06722A" w:rsidR="007242A7" w:rsidRPr="00D9407D" w:rsidRDefault="007242A7" w:rsidP="007242A7">
      <w:pPr>
        <w:spacing w:before="100" w:beforeAutospacing="1" w:after="100" w:afterAutospacing="1" w:line="240" w:lineRule="auto"/>
        <w:rPr>
          <w:rFonts w:ascii="Times New Roman" w:eastAsia="Times New Roman" w:hAnsi="Times New Roman" w:cs="Times New Roman"/>
          <w:sz w:val="24"/>
          <w:szCs w:val="24"/>
          <w:lang w:val="en"/>
        </w:rPr>
      </w:pPr>
      <w:r w:rsidRPr="007242A7">
        <w:rPr>
          <w:rFonts w:ascii="Times New Roman" w:eastAsia="Times New Roman" w:hAnsi="Times New Roman" w:cs="Times New Roman"/>
          <w:sz w:val="24"/>
          <w:szCs w:val="24"/>
          <w:lang w:val="en"/>
        </w:rPr>
        <w:t xml:space="preserve">Last Updated </w:t>
      </w:r>
      <w:r w:rsidRPr="007242A7">
        <w:rPr>
          <w:rFonts w:ascii="Times New Roman" w:eastAsia="Times New Roman" w:hAnsi="Times New Roman" w:cs="Times New Roman"/>
          <w:sz w:val="24"/>
          <w:szCs w:val="24"/>
          <w:lang w:val="en"/>
        </w:rPr>
        <w:br/>
      </w:r>
      <w:r w:rsidR="006A66DC" w:rsidRPr="00D9407D">
        <w:rPr>
          <w:rFonts w:ascii="Times New Roman" w:eastAsia="Times New Roman" w:hAnsi="Times New Roman" w:cs="Times New Roman"/>
          <w:sz w:val="24"/>
          <w:szCs w:val="24"/>
          <w:highlight w:val="yellow"/>
          <w:lang w:val="en"/>
        </w:rPr>
        <w:t>0</w:t>
      </w:r>
      <w:r w:rsidR="004608D0" w:rsidRPr="00D9407D">
        <w:rPr>
          <w:rFonts w:ascii="Times New Roman" w:eastAsia="Times New Roman" w:hAnsi="Times New Roman" w:cs="Times New Roman"/>
          <w:sz w:val="24"/>
          <w:szCs w:val="24"/>
          <w:highlight w:val="yellow"/>
          <w:lang w:val="en"/>
        </w:rPr>
        <w:t>3/26/2024</w:t>
      </w:r>
    </w:p>
    <w:p w14:paraId="309DA9BE" w14:textId="77777777" w:rsidR="007242A7" w:rsidRPr="007242A7" w:rsidRDefault="007242A7" w:rsidP="007242A7">
      <w:pPr>
        <w:spacing w:after="0" w:line="240" w:lineRule="auto"/>
        <w:rPr>
          <w:rFonts w:ascii="Times New Roman" w:eastAsia="Times New Roman" w:hAnsi="Times New Roman" w:cs="Times New Roman"/>
          <w:sz w:val="24"/>
          <w:szCs w:val="24"/>
          <w:lang w:val="en"/>
        </w:rPr>
      </w:pPr>
      <w:r w:rsidRPr="007242A7">
        <w:rPr>
          <w:rFonts w:ascii="Times New Roman" w:eastAsia="Times New Roman" w:hAnsi="Times New Roman" w:cs="Times New Roman"/>
          <w:sz w:val="24"/>
          <w:szCs w:val="24"/>
          <w:lang w:val="en"/>
        </w:rPr>
        <w:t xml:space="preserve">Contact </w:t>
      </w:r>
      <w:r w:rsidRPr="007242A7">
        <w:rPr>
          <w:rFonts w:ascii="Times New Roman" w:eastAsia="Times New Roman" w:hAnsi="Times New Roman" w:cs="Times New Roman"/>
          <w:sz w:val="24"/>
          <w:szCs w:val="24"/>
          <w:lang w:val="en"/>
        </w:rPr>
        <w:br/>
        <w:t>Kay Tracy</w:t>
      </w:r>
    </w:p>
    <w:p w14:paraId="2B859C4A" w14:textId="77777777" w:rsidR="007242A7" w:rsidRPr="007242A7" w:rsidRDefault="007242A7" w:rsidP="007242A7">
      <w:pPr>
        <w:spacing w:after="0" w:line="240" w:lineRule="auto"/>
        <w:rPr>
          <w:rFonts w:ascii="Times New Roman" w:eastAsia="Times New Roman" w:hAnsi="Times New Roman" w:cs="Times New Roman"/>
          <w:sz w:val="24"/>
          <w:szCs w:val="24"/>
          <w:lang w:val="en"/>
        </w:rPr>
      </w:pPr>
      <w:r w:rsidRPr="007242A7">
        <w:rPr>
          <w:rFonts w:ascii="Times New Roman" w:eastAsia="Times New Roman" w:hAnsi="Times New Roman" w:cs="Times New Roman"/>
          <w:sz w:val="24"/>
          <w:szCs w:val="24"/>
          <w:lang w:val="en"/>
        </w:rPr>
        <w:t xml:space="preserve">Email: </w:t>
      </w:r>
      <w:hyperlink r:id="rId31" w:history="1">
        <w:r w:rsidRPr="007242A7">
          <w:rPr>
            <w:rFonts w:ascii="Times New Roman" w:eastAsia="Times New Roman" w:hAnsi="Times New Roman" w:cs="Times New Roman"/>
            <w:color w:val="0000FF"/>
            <w:sz w:val="24"/>
            <w:szCs w:val="24"/>
            <w:u w:val="single"/>
            <w:lang w:val="en"/>
          </w:rPr>
          <w:t>Kay.Tracy@state.mn.us</w:t>
        </w:r>
      </w:hyperlink>
      <w:r w:rsidRPr="007242A7">
        <w:rPr>
          <w:rFonts w:ascii="Times New Roman" w:eastAsia="Times New Roman" w:hAnsi="Times New Roman" w:cs="Times New Roman"/>
          <w:sz w:val="24"/>
          <w:szCs w:val="24"/>
          <w:lang w:val="en"/>
        </w:rPr>
        <w:br/>
        <w:t>Phone: 651.259.7555</w:t>
      </w:r>
    </w:p>
    <w:p w14:paraId="3FC99A8D" w14:textId="77777777" w:rsidR="007242A7" w:rsidRPr="007242A7" w:rsidRDefault="007242A7" w:rsidP="007242A7">
      <w:pPr>
        <w:spacing w:after="0" w:line="240" w:lineRule="auto"/>
        <w:rPr>
          <w:rFonts w:ascii="Times New Roman" w:eastAsia="Times New Roman" w:hAnsi="Times New Roman" w:cs="Times New Roman"/>
          <w:sz w:val="24"/>
          <w:szCs w:val="24"/>
          <w:lang w:val="en"/>
        </w:rPr>
      </w:pPr>
    </w:p>
    <w:p w14:paraId="343ADAA1" w14:textId="422D730F" w:rsidR="007242A7" w:rsidRPr="00D9407D" w:rsidRDefault="00D9407D" w:rsidP="007242A7">
      <w:pPr>
        <w:spacing w:after="0" w:line="240" w:lineRule="auto"/>
        <w:rPr>
          <w:rFonts w:ascii="Times New Roman" w:eastAsia="Times New Roman" w:hAnsi="Times New Roman" w:cs="Times New Roman"/>
          <w:sz w:val="24"/>
          <w:szCs w:val="24"/>
          <w:highlight w:val="yellow"/>
          <w:lang w:val="en"/>
        </w:rPr>
      </w:pPr>
      <w:r w:rsidRPr="00D9407D">
        <w:rPr>
          <w:rFonts w:ascii="Times New Roman" w:eastAsia="Times New Roman" w:hAnsi="Times New Roman" w:cs="Times New Roman"/>
          <w:sz w:val="24"/>
          <w:szCs w:val="24"/>
          <w:highlight w:val="yellow"/>
          <w:lang w:val="en"/>
        </w:rPr>
        <w:t>Cory Schmid</w:t>
      </w:r>
    </w:p>
    <w:p w14:paraId="50E2304C" w14:textId="4246F361" w:rsidR="007242A7" w:rsidRPr="00D9407D" w:rsidRDefault="007242A7" w:rsidP="007242A7">
      <w:pPr>
        <w:spacing w:after="0" w:line="240" w:lineRule="auto"/>
        <w:rPr>
          <w:rFonts w:ascii="Times New Roman" w:eastAsia="Times New Roman" w:hAnsi="Times New Roman" w:cs="Times New Roman"/>
          <w:sz w:val="24"/>
          <w:szCs w:val="24"/>
          <w:highlight w:val="yellow"/>
          <w:lang w:val="en"/>
        </w:rPr>
      </w:pPr>
      <w:r w:rsidRPr="00D9407D">
        <w:rPr>
          <w:rFonts w:ascii="Times New Roman" w:eastAsia="Times New Roman" w:hAnsi="Times New Roman" w:cs="Times New Roman"/>
          <w:sz w:val="24"/>
          <w:szCs w:val="24"/>
          <w:highlight w:val="yellow"/>
          <w:lang w:val="en"/>
        </w:rPr>
        <w:t>Email:</w:t>
      </w:r>
      <w:r w:rsidR="00D9407D" w:rsidRPr="00D9407D">
        <w:rPr>
          <w:rFonts w:ascii="Times New Roman" w:eastAsia="Times New Roman" w:hAnsi="Times New Roman" w:cs="Times New Roman"/>
          <w:sz w:val="24"/>
          <w:szCs w:val="24"/>
          <w:highlight w:val="yellow"/>
          <w:lang w:val="en"/>
        </w:rPr>
        <w:t xml:space="preserve"> </w:t>
      </w:r>
      <w:hyperlink r:id="rId32" w:history="1">
        <w:r w:rsidR="00D9407D" w:rsidRPr="00D9407D">
          <w:rPr>
            <w:rStyle w:val="Hyperlink"/>
            <w:rFonts w:ascii="Times New Roman" w:eastAsia="Times New Roman" w:hAnsi="Times New Roman" w:cs="Times New Roman"/>
            <w:sz w:val="24"/>
            <w:szCs w:val="24"/>
            <w:highlight w:val="yellow"/>
            <w:lang w:val="en"/>
          </w:rPr>
          <w:t>Cory.Schmid@state.mn.us</w:t>
        </w:r>
      </w:hyperlink>
      <w:r w:rsidR="00D9407D" w:rsidRPr="00D9407D">
        <w:rPr>
          <w:rFonts w:ascii="Times New Roman" w:eastAsia="Times New Roman" w:hAnsi="Times New Roman" w:cs="Times New Roman"/>
          <w:sz w:val="24"/>
          <w:szCs w:val="24"/>
          <w:highlight w:val="yellow"/>
          <w:lang w:val="en"/>
        </w:rPr>
        <w:t xml:space="preserve">  </w:t>
      </w:r>
    </w:p>
    <w:p w14:paraId="1063BD56" w14:textId="527D1B94" w:rsidR="007242A7" w:rsidRPr="007242A7" w:rsidRDefault="00120C3B" w:rsidP="007242A7">
      <w:pPr>
        <w:spacing w:after="0" w:line="240" w:lineRule="auto"/>
        <w:rPr>
          <w:rFonts w:ascii="Times New Roman" w:eastAsia="Times New Roman" w:hAnsi="Times New Roman" w:cs="Times New Roman"/>
          <w:sz w:val="24"/>
          <w:szCs w:val="24"/>
          <w:lang w:val="en"/>
        </w:rPr>
      </w:pPr>
      <w:r w:rsidRPr="00D9407D">
        <w:rPr>
          <w:rFonts w:ascii="Times New Roman" w:eastAsia="Times New Roman" w:hAnsi="Times New Roman" w:cs="Times New Roman"/>
          <w:sz w:val="24"/>
          <w:szCs w:val="24"/>
          <w:highlight w:val="yellow"/>
          <w:lang w:val="en"/>
        </w:rPr>
        <w:t>Phone: 651.259.</w:t>
      </w:r>
      <w:r w:rsidR="00D9407D" w:rsidRPr="00D9407D">
        <w:rPr>
          <w:rFonts w:ascii="Times New Roman" w:eastAsia="Times New Roman" w:hAnsi="Times New Roman" w:cs="Times New Roman"/>
          <w:sz w:val="24"/>
          <w:szCs w:val="24"/>
          <w:highlight w:val="yellow"/>
          <w:lang w:val="en"/>
        </w:rPr>
        <w:t>7541</w:t>
      </w:r>
    </w:p>
    <w:p w14:paraId="5D634B08" w14:textId="77777777" w:rsidR="00082E59" w:rsidRDefault="00082E59" w:rsidP="001A44CD">
      <w:pPr>
        <w:rPr>
          <w:b/>
          <w:bCs/>
          <w:lang w:val="en"/>
        </w:rPr>
      </w:pPr>
    </w:p>
    <w:p w14:paraId="454253FD" w14:textId="77777777" w:rsidR="00082E59" w:rsidRPr="007102DE" w:rsidRDefault="007242A7" w:rsidP="001A44CD">
      <w:pPr>
        <w:rPr>
          <w:rFonts w:ascii="Times New Roman" w:hAnsi="Times New Roman" w:cs="Times New Roman"/>
          <w:bCs/>
          <w:sz w:val="24"/>
          <w:lang w:val="en"/>
        </w:rPr>
      </w:pPr>
      <w:r w:rsidRPr="007102DE">
        <w:rPr>
          <w:rFonts w:ascii="Times New Roman" w:hAnsi="Times New Roman" w:cs="Times New Roman"/>
          <w:bCs/>
          <w:sz w:val="24"/>
          <w:lang w:val="en"/>
        </w:rPr>
        <w:t>Policy</w:t>
      </w:r>
    </w:p>
    <w:p w14:paraId="7E761FE8" w14:textId="445FCFE8" w:rsidR="00A565E7" w:rsidRPr="006A66DC" w:rsidRDefault="001A44CD" w:rsidP="001A44CD">
      <w:pPr>
        <w:rPr>
          <w:rFonts w:ascii="Times New Roman" w:hAnsi="Times New Roman" w:cs="Times New Roman"/>
          <w:sz w:val="24"/>
        </w:rPr>
      </w:pPr>
      <w:proofErr w:type="gramStart"/>
      <w:r w:rsidRPr="007102DE">
        <w:rPr>
          <w:rFonts w:ascii="Times New Roman" w:hAnsi="Times New Roman" w:cs="Times New Roman"/>
          <w:sz w:val="24"/>
        </w:rPr>
        <w:t>In order to</w:t>
      </w:r>
      <w:proofErr w:type="gramEnd"/>
      <w:r w:rsidRPr="007102DE">
        <w:rPr>
          <w:rFonts w:ascii="Times New Roman" w:hAnsi="Times New Roman" w:cs="Times New Roman"/>
          <w:sz w:val="24"/>
        </w:rPr>
        <w:t xml:space="preserve"> enhance individual participant choice in their education and training plans and provide flexibility to service providers, DOL allows</w:t>
      </w:r>
      <w:r w:rsidR="009A75A0">
        <w:rPr>
          <w:rFonts w:ascii="Times New Roman" w:hAnsi="Times New Roman" w:cs="Times New Roman"/>
          <w:sz w:val="24"/>
        </w:rPr>
        <w:t xml:space="preserve">, </w:t>
      </w:r>
      <w:r w:rsidR="009A75A0" w:rsidRPr="001D3F6D">
        <w:rPr>
          <w:rFonts w:ascii="Times New Roman" w:hAnsi="Times New Roman" w:cs="Times New Roman"/>
          <w:sz w:val="24"/>
        </w:rPr>
        <w:t xml:space="preserve">with </w:t>
      </w:r>
      <w:r w:rsidR="00D9407D">
        <w:rPr>
          <w:rFonts w:ascii="Times New Roman" w:hAnsi="Times New Roman" w:cs="Times New Roman"/>
          <w:sz w:val="24"/>
        </w:rPr>
        <w:t xml:space="preserve">Minnesota’s </w:t>
      </w:r>
      <w:r w:rsidR="009A75A0" w:rsidRPr="001D3F6D">
        <w:rPr>
          <w:rFonts w:ascii="Times New Roman" w:hAnsi="Times New Roman" w:cs="Times New Roman"/>
          <w:sz w:val="24"/>
        </w:rPr>
        <w:t>approved waiver, Workforce</w:t>
      </w:r>
      <w:r w:rsidR="008F3F87" w:rsidRPr="001D3F6D">
        <w:rPr>
          <w:rFonts w:ascii="Times New Roman" w:hAnsi="Times New Roman" w:cs="Times New Roman"/>
          <w:sz w:val="24"/>
        </w:rPr>
        <w:t xml:space="preserve"> Development Areas (WDAs) to use </w:t>
      </w:r>
      <w:r w:rsidR="0092677E" w:rsidRPr="001D3F6D">
        <w:rPr>
          <w:rFonts w:ascii="Times New Roman" w:hAnsi="Times New Roman" w:cs="Times New Roman"/>
          <w:sz w:val="24"/>
        </w:rPr>
        <w:t>ITAs</w:t>
      </w:r>
      <w:r w:rsidRPr="001D3F6D">
        <w:rPr>
          <w:rFonts w:ascii="Times New Roman" w:hAnsi="Times New Roman" w:cs="Times New Roman"/>
          <w:sz w:val="24"/>
        </w:rPr>
        <w:t xml:space="preserve"> </w:t>
      </w:r>
      <w:r w:rsidR="00082E59" w:rsidRPr="001D3F6D">
        <w:rPr>
          <w:rFonts w:ascii="Times New Roman" w:hAnsi="Times New Roman" w:cs="Times New Roman"/>
          <w:sz w:val="24"/>
        </w:rPr>
        <w:t xml:space="preserve">for </w:t>
      </w:r>
      <w:r w:rsidR="009A75A0" w:rsidRPr="001D3F6D">
        <w:rPr>
          <w:rFonts w:ascii="Times New Roman" w:hAnsi="Times New Roman" w:cs="Times New Roman"/>
          <w:sz w:val="24"/>
        </w:rPr>
        <w:t>both in-school youth, ages 1</w:t>
      </w:r>
      <w:r w:rsidR="00ED066D">
        <w:rPr>
          <w:rFonts w:ascii="Times New Roman" w:hAnsi="Times New Roman" w:cs="Times New Roman"/>
          <w:sz w:val="24"/>
        </w:rPr>
        <w:t>6</w:t>
      </w:r>
      <w:r w:rsidR="009A75A0" w:rsidRPr="001D3F6D">
        <w:rPr>
          <w:rFonts w:ascii="Times New Roman" w:hAnsi="Times New Roman" w:cs="Times New Roman"/>
          <w:sz w:val="24"/>
        </w:rPr>
        <w:t xml:space="preserve">-21, and </w:t>
      </w:r>
      <w:r w:rsidR="00082E59" w:rsidRPr="001D3F6D">
        <w:rPr>
          <w:rFonts w:ascii="Times New Roman" w:hAnsi="Times New Roman" w:cs="Times New Roman"/>
          <w:sz w:val="24"/>
        </w:rPr>
        <w:t>out-of-school youth, ages 16</w:t>
      </w:r>
      <w:r w:rsidRPr="001D3F6D">
        <w:rPr>
          <w:rFonts w:ascii="Times New Roman" w:hAnsi="Times New Roman" w:cs="Times New Roman"/>
          <w:sz w:val="24"/>
        </w:rPr>
        <w:t>-24, using WIOA youth funds when appropriate</w:t>
      </w:r>
      <w:r w:rsidR="00C53075" w:rsidRPr="001D3F6D">
        <w:rPr>
          <w:rFonts w:ascii="Times New Roman" w:hAnsi="Times New Roman" w:cs="Times New Roman"/>
          <w:sz w:val="24"/>
        </w:rPr>
        <w:t>.</w:t>
      </w:r>
      <w:r w:rsidR="00A565E7" w:rsidRPr="001D3F6D">
        <w:rPr>
          <w:rFonts w:ascii="Times New Roman" w:hAnsi="Times New Roman" w:cs="Times New Roman"/>
          <w:sz w:val="24"/>
        </w:rPr>
        <w:t xml:space="preserve"> WDAs wanting to take advantage of this waiver to serve in-school youth must include the relevant components in their workplan that is on file with DEED</w:t>
      </w:r>
      <w:r w:rsidR="001D3F6D">
        <w:rPr>
          <w:rFonts w:ascii="Times New Roman" w:hAnsi="Times New Roman" w:cs="Times New Roman"/>
          <w:sz w:val="24"/>
        </w:rPr>
        <w:t xml:space="preserve">, </w:t>
      </w:r>
      <w:r w:rsidR="001D3F6D" w:rsidRPr="006A66DC">
        <w:rPr>
          <w:rFonts w:ascii="Times New Roman" w:hAnsi="Times New Roman" w:cs="Times New Roman"/>
          <w:sz w:val="24"/>
        </w:rPr>
        <w:t>along with a revised budget, where appropriate.</w:t>
      </w:r>
    </w:p>
    <w:p w14:paraId="7A15F38B" w14:textId="77777777" w:rsidR="00A565E7" w:rsidRDefault="00A565E7" w:rsidP="00254490">
      <w:pPr>
        <w:ind w:firstLine="720"/>
        <w:rPr>
          <w:rFonts w:ascii="Times New Roman" w:hAnsi="Times New Roman" w:cs="Times New Roman"/>
          <w:color w:val="000000" w:themeColor="text1"/>
          <w:sz w:val="24"/>
        </w:rPr>
      </w:pPr>
      <w:r w:rsidRPr="00254490">
        <w:rPr>
          <w:rFonts w:ascii="Times New Roman" w:hAnsi="Times New Roman" w:cs="Times New Roman"/>
          <w:b/>
          <w:bCs/>
          <w:color w:val="000000" w:themeColor="text1"/>
          <w:sz w:val="24"/>
        </w:rPr>
        <w:t>IMPORTANT POINTS:</w:t>
      </w:r>
      <w:r w:rsidRPr="00254490">
        <w:rPr>
          <w:rFonts w:ascii="Times New Roman" w:hAnsi="Times New Roman" w:cs="Times New Roman"/>
          <w:color w:val="000000" w:themeColor="text1"/>
          <w:sz w:val="24"/>
        </w:rPr>
        <w:t xml:space="preserve"> </w:t>
      </w:r>
    </w:p>
    <w:p w14:paraId="68387992" w14:textId="5DF644F8" w:rsidR="00D9407D" w:rsidRPr="00D9407D" w:rsidRDefault="00254490" w:rsidP="00D9407D">
      <w:pPr>
        <w:pStyle w:val="ListParagraph"/>
        <w:numPr>
          <w:ilvl w:val="0"/>
          <w:numId w:val="6"/>
        </w:numPr>
        <w:spacing w:after="360"/>
        <w:rPr>
          <w:rFonts w:ascii="Times New Roman" w:hAnsi="Times New Roman" w:cs="Times New Roman"/>
          <w:color w:val="000000" w:themeColor="text1"/>
          <w:sz w:val="24"/>
          <w:highlight w:val="yellow"/>
        </w:rPr>
      </w:pPr>
      <w:r w:rsidRPr="00254490">
        <w:rPr>
          <w:rFonts w:ascii="Times New Roman" w:hAnsi="Times New Roman" w:cs="Times New Roman"/>
          <w:color w:val="000000" w:themeColor="text1"/>
          <w:sz w:val="24"/>
          <w:highlight w:val="yellow"/>
        </w:rPr>
        <w:t xml:space="preserve">ITAs CANNOT be provided to </w:t>
      </w:r>
      <w:r w:rsidR="00D9407D">
        <w:rPr>
          <w:rFonts w:ascii="Times New Roman" w:hAnsi="Times New Roman" w:cs="Times New Roman"/>
          <w:color w:val="000000" w:themeColor="text1"/>
          <w:sz w:val="24"/>
          <w:highlight w:val="yellow"/>
        </w:rPr>
        <w:t>participants</w:t>
      </w:r>
      <w:r w:rsidRPr="00254490">
        <w:rPr>
          <w:rFonts w:ascii="Times New Roman" w:hAnsi="Times New Roman" w:cs="Times New Roman"/>
          <w:color w:val="000000" w:themeColor="text1"/>
          <w:sz w:val="24"/>
          <w:highlight w:val="yellow"/>
        </w:rPr>
        <w:t xml:space="preserve"> </w:t>
      </w:r>
      <w:r>
        <w:rPr>
          <w:rFonts w:ascii="Times New Roman" w:hAnsi="Times New Roman" w:cs="Times New Roman"/>
          <w:color w:val="000000" w:themeColor="text1"/>
          <w:sz w:val="24"/>
          <w:highlight w:val="yellow"/>
        </w:rPr>
        <w:t xml:space="preserve">who do not have </w:t>
      </w:r>
      <w:r w:rsidR="004608D0">
        <w:rPr>
          <w:rFonts w:ascii="Times New Roman" w:hAnsi="Times New Roman" w:cs="Times New Roman"/>
          <w:color w:val="000000" w:themeColor="text1"/>
          <w:sz w:val="24"/>
          <w:highlight w:val="yellow"/>
        </w:rPr>
        <w:t xml:space="preserve">federally issued </w:t>
      </w:r>
      <w:r w:rsidRPr="00254490">
        <w:rPr>
          <w:rFonts w:ascii="Times New Roman" w:hAnsi="Times New Roman" w:cs="Times New Roman"/>
          <w:color w:val="000000" w:themeColor="text1"/>
          <w:sz w:val="24"/>
          <w:highlight w:val="yellow"/>
        </w:rPr>
        <w:t>work authorization.</w:t>
      </w:r>
    </w:p>
    <w:p w14:paraId="6B9E2909" w14:textId="77777777" w:rsidR="00D9407D" w:rsidRDefault="00AB5A4A" w:rsidP="00A565E7">
      <w:pPr>
        <w:pStyle w:val="ListParagraph"/>
        <w:numPr>
          <w:ilvl w:val="0"/>
          <w:numId w:val="4"/>
        </w:numPr>
        <w:spacing w:before="240"/>
        <w:rPr>
          <w:rFonts w:ascii="Times New Roman" w:hAnsi="Times New Roman" w:cs="Times New Roman"/>
          <w:color w:val="000000" w:themeColor="text1"/>
          <w:sz w:val="24"/>
        </w:rPr>
      </w:pPr>
      <w:r w:rsidRPr="00D9407D">
        <w:rPr>
          <w:rFonts w:ascii="Times New Roman" w:hAnsi="Times New Roman" w:cs="Times New Roman"/>
          <w:color w:val="000000" w:themeColor="text1"/>
          <w:sz w:val="24"/>
        </w:rPr>
        <w:t xml:space="preserve">Young adults between the ages of 22 and 24 who are in post-secondary school at the time of </w:t>
      </w:r>
      <w:r w:rsidR="006F5E39" w:rsidRPr="00D9407D">
        <w:rPr>
          <w:rFonts w:ascii="Times New Roman" w:hAnsi="Times New Roman" w:cs="Times New Roman"/>
          <w:color w:val="000000" w:themeColor="text1"/>
          <w:sz w:val="24"/>
        </w:rPr>
        <w:t>enrollment are NOT eligible to be served under WIOA Young Adult program</w:t>
      </w:r>
      <w:r w:rsidR="001D3F6D" w:rsidRPr="00D9407D">
        <w:rPr>
          <w:rFonts w:ascii="Times New Roman" w:hAnsi="Times New Roman" w:cs="Times New Roman"/>
          <w:color w:val="000000" w:themeColor="text1"/>
          <w:sz w:val="24"/>
        </w:rPr>
        <w:t>, since they are considered “in-school youth” and the law specifically caps ISY age eligibility at 21</w:t>
      </w:r>
      <w:r w:rsidR="006F5E39" w:rsidRPr="00D9407D">
        <w:rPr>
          <w:rFonts w:ascii="Times New Roman" w:hAnsi="Times New Roman" w:cs="Times New Roman"/>
          <w:color w:val="000000" w:themeColor="text1"/>
          <w:sz w:val="24"/>
        </w:rPr>
        <w:t>. They may, however, be eligible for the WIOA adult program.</w:t>
      </w:r>
    </w:p>
    <w:p w14:paraId="2DF548D7" w14:textId="273349E2" w:rsidR="007624D5" w:rsidRPr="00D9407D" w:rsidRDefault="007624D5" w:rsidP="00A565E7">
      <w:pPr>
        <w:pStyle w:val="ListParagraph"/>
        <w:numPr>
          <w:ilvl w:val="0"/>
          <w:numId w:val="4"/>
        </w:numPr>
        <w:spacing w:before="240"/>
        <w:rPr>
          <w:rFonts w:ascii="Times New Roman" w:hAnsi="Times New Roman" w:cs="Times New Roman"/>
          <w:color w:val="000000" w:themeColor="text1"/>
          <w:sz w:val="24"/>
        </w:rPr>
      </w:pPr>
      <w:r w:rsidRPr="00D9407D">
        <w:rPr>
          <w:rFonts w:ascii="Times New Roman" w:hAnsi="Times New Roman" w:cs="Times New Roman"/>
          <w:color w:val="000000" w:themeColor="text1"/>
          <w:sz w:val="24"/>
        </w:rPr>
        <w:t xml:space="preserve">Unlike WIOA Adult or WIOA Dislocated Worker programs, ITAs are </w:t>
      </w:r>
      <w:r w:rsidRPr="00D9407D">
        <w:rPr>
          <w:rFonts w:ascii="Times New Roman" w:hAnsi="Times New Roman" w:cs="Times New Roman"/>
          <w:b/>
          <w:bCs/>
          <w:color w:val="000000" w:themeColor="text1"/>
          <w:sz w:val="24"/>
        </w:rPr>
        <w:t>NOT</w:t>
      </w:r>
      <w:r w:rsidRPr="00D9407D">
        <w:rPr>
          <w:rFonts w:ascii="Times New Roman" w:hAnsi="Times New Roman" w:cs="Times New Roman"/>
          <w:color w:val="000000" w:themeColor="text1"/>
          <w:sz w:val="24"/>
        </w:rPr>
        <w:t xml:space="preserve"> required for WIOA Youth Participants.</w:t>
      </w:r>
      <w:r w:rsidR="001D3F6D" w:rsidRPr="00D9407D">
        <w:rPr>
          <w:rFonts w:ascii="Times New Roman" w:hAnsi="Times New Roman" w:cs="Times New Roman"/>
          <w:color w:val="000000" w:themeColor="text1"/>
          <w:sz w:val="24"/>
        </w:rPr>
        <w:t xml:space="preserve"> WDAs/youth service providers are encouraged to use training providers from Minnesota’s Eligible Training Provider List (ETPL)</w:t>
      </w:r>
      <w:r w:rsidR="00EE33C6" w:rsidRPr="00D9407D">
        <w:rPr>
          <w:rFonts w:ascii="Times New Roman" w:hAnsi="Times New Roman" w:cs="Times New Roman"/>
          <w:color w:val="000000" w:themeColor="text1"/>
          <w:sz w:val="24"/>
        </w:rPr>
        <w:t xml:space="preserve"> </w:t>
      </w:r>
      <w:r w:rsidR="000457BA" w:rsidRPr="000457BA">
        <w:rPr>
          <w:rFonts w:ascii="Times New Roman" w:hAnsi="Times New Roman" w:cs="Times New Roman"/>
          <w:color w:val="000000" w:themeColor="text1"/>
          <w:sz w:val="24"/>
          <w:highlight w:val="yellow"/>
        </w:rPr>
        <w:t xml:space="preserve">when providing training </w:t>
      </w:r>
      <w:r w:rsidR="000457BA">
        <w:rPr>
          <w:rFonts w:ascii="Times New Roman" w:hAnsi="Times New Roman" w:cs="Times New Roman"/>
          <w:color w:val="000000" w:themeColor="text1"/>
          <w:sz w:val="24"/>
          <w:highlight w:val="yellow"/>
        </w:rPr>
        <w:t xml:space="preserve">outside of </w:t>
      </w:r>
      <w:r w:rsidR="000457BA" w:rsidRPr="000457BA">
        <w:rPr>
          <w:rFonts w:ascii="Times New Roman" w:hAnsi="Times New Roman" w:cs="Times New Roman"/>
          <w:color w:val="000000" w:themeColor="text1"/>
          <w:sz w:val="24"/>
          <w:highlight w:val="yellow"/>
        </w:rPr>
        <w:t>an ITA</w:t>
      </w:r>
      <w:r w:rsidR="000457BA">
        <w:rPr>
          <w:rFonts w:ascii="Times New Roman" w:hAnsi="Times New Roman" w:cs="Times New Roman"/>
          <w:color w:val="000000" w:themeColor="text1"/>
          <w:sz w:val="24"/>
        </w:rPr>
        <w:t xml:space="preserve"> </w:t>
      </w:r>
      <w:r w:rsidR="001D3F6D" w:rsidRPr="00D9407D">
        <w:rPr>
          <w:rFonts w:ascii="Times New Roman" w:hAnsi="Times New Roman" w:cs="Times New Roman"/>
          <w:color w:val="000000" w:themeColor="text1"/>
          <w:sz w:val="24"/>
        </w:rPr>
        <w:t xml:space="preserve">but are NOT required to do so. </w:t>
      </w:r>
    </w:p>
    <w:p w14:paraId="1C9CE1D6" w14:textId="61B75A99" w:rsidR="001A44CD" w:rsidRPr="006A66DC" w:rsidRDefault="001A44CD" w:rsidP="001A44CD">
      <w:pPr>
        <w:rPr>
          <w:rFonts w:ascii="Times New Roman" w:hAnsi="Times New Roman" w:cs="Times New Roman"/>
          <w:color w:val="000000" w:themeColor="text1"/>
          <w:sz w:val="24"/>
        </w:rPr>
      </w:pPr>
      <w:r w:rsidRPr="006A66DC">
        <w:rPr>
          <w:rFonts w:ascii="Times New Roman" w:hAnsi="Times New Roman" w:cs="Times New Roman"/>
          <w:color w:val="000000" w:themeColor="text1"/>
          <w:sz w:val="24"/>
        </w:rPr>
        <w:t xml:space="preserve">The use of an ITA </w:t>
      </w:r>
      <w:r w:rsidR="00EE33C6" w:rsidRPr="006A66DC">
        <w:rPr>
          <w:rFonts w:ascii="Times New Roman" w:hAnsi="Times New Roman" w:cs="Times New Roman"/>
          <w:sz w:val="24"/>
        </w:rPr>
        <w:t>for any eligible WIOA youth participant</w:t>
      </w:r>
      <w:r w:rsidRPr="006A66DC">
        <w:rPr>
          <w:rFonts w:ascii="Times New Roman" w:hAnsi="Times New Roman" w:cs="Times New Roman"/>
          <w:sz w:val="24"/>
        </w:rPr>
        <w:t xml:space="preserve"> should </w:t>
      </w:r>
      <w:r w:rsidRPr="006A66DC">
        <w:rPr>
          <w:rFonts w:ascii="Times New Roman" w:hAnsi="Times New Roman" w:cs="Times New Roman"/>
          <w:color w:val="000000" w:themeColor="text1"/>
          <w:sz w:val="24"/>
        </w:rPr>
        <w:t xml:space="preserve">be in accordance with the </w:t>
      </w:r>
      <w:r w:rsidR="00A54FF0" w:rsidRPr="006A66DC">
        <w:rPr>
          <w:rFonts w:ascii="Times New Roman" w:hAnsi="Times New Roman" w:cs="Times New Roman"/>
          <w:color w:val="000000" w:themeColor="text1"/>
          <w:sz w:val="24"/>
        </w:rPr>
        <w:t xml:space="preserve">participant’s </w:t>
      </w:r>
      <w:r w:rsidRPr="006A66DC">
        <w:rPr>
          <w:rFonts w:ascii="Times New Roman" w:hAnsi="Times New Roman" w:cs="Times New Roman"/>
          <w:color w:val="000000" w:themeColor="text1"/>
          <w:sz w:val="24"/>
        </w:rPr>
        <w:t>Individual Service Strategy (ISS). It may be used in instances where a primary focus of the ISS is determined to be the development of skills necessary to help connect the y</w:t>
      </w:r>
      <w:r w:rsidR="00082E59" w:rsidRPr="006A66DC">
        <w:rPr>
          <w:rFonts w:ascii="Times New Roman" w:hAnsi="Times New Roman" w:cs="Times New Roman"/>
          <w:color w:val="000000" w:themeColor="text1"/>
          <w:sz w:val="24"/>
        </w:rPr>
        <w:t xml:space="preserve">outh with </w:t>
      </w:r>
      <w:r w:rsidR="001D3F6D" w:rsidRPr="006A66DC">
        <w:rPr>
          <w:rFonts w:ascii="Times New Roman" w:hAnsi="Times New Roman" w:cs="Times New Roman"/>
          <w:color w:val="000000" w:themeColor="text1"/>
          <w:sz w:val="24"/>
        </w:rPr>
        <w:t>a career pathway</w:t>
      </w:r>
      <w:r w:rsidR="00082E59" w:rsidRPr="006A66DC">
        <w:rPr>
          <w:rFonts w:ascii="Times New Roman" w:hAnsi="Times New Roman" w:cs="Times New Roman"/>
          <w:color w:val="000000" w:themeColor="text1"/>
          <w:sz w:val="24"/>
        </w:rPr>
        <w:t>. </w:t>
      </w:r>
      <w:r w:rsidRPr="006A66DC">
        <w:rPr>
          <w:rFonts w:ascii="Times New Roman" w:hAnsi="Times New Roman" w:cs="Times New Roman"/>
          <w:color w:val="000000" w:themeColor="text1"/>
          <w:sz w:val="24"/>
        </w:rPr>
        <w:t xml:space="preserve">The ITA is not </w:t>
      </w:r>
      <w:r w:rsidR="00A565E7" w:rsidRPr="006A66DC">
        <w:rPr>
          <w:rFonts w:ascii="Times New Roman" w:hAnsi="Times New Roman" w:cs="Times New Roman"/>
          <w:color w:val="000000" w:themeColor="text1"/>
          <w:sz w:val="24"/>
        </w:rPr>
        <w:t>intended to be</w:t>
      </w:r>
      <w:r w:rsidRPr="006A66DC">
        <w:rPr>
          <w:rFonts w:ascii="Times New Roman" w:hAnsi="Times New Roman" w:cs="Times New Roman"/>
          <w:color w:val="000000" w:themeColor="text1"/>
          <w:sz w:val="24"/>
        </w:rPr>
        <w:t xml:space="preserve"> an alternative to acquiring a high school diploma or GED</w:t>
      </w:r>
      <w:r w:rsidR="006243D5" w:rsidRPr="006A66DC">
        <w:rPr>
          <w:rFonts w:ascii="Times New Roman" w:hAnsi="Times New Roman" w:cs="Times New Roman"/>
          <w:color w:val="000000" w:themeColor="text1"/>
          <w:sz w:val="24"/>
        </w:rPr>
        <w:t>.</w:t>
      </w:r>
      <w:r w:rsidRPr="006A66DC">
        <w:rPr>
          <w:rFonts w:ascii="Times New Roman" w:hAnsi="Times New Roman" w:cs="Times New Roman"/>
          <w:color w:val="000000" w:themeColor="text1"/>
          <w:sz w:val="24"/>
        </w:rPr>
        <w:t xml:space="preserve">  </w:t>
      </w:r>
    </w:p>
    <w:p w14:paraId="499088D0" w14:textId="4E8F8AE2" w:rsidR="001A44CD" w:rsidRPr="006A66DC" w:rsidRDefault="007C0921" w:rsidP="001A44CD">
      <w:pPr>
        <w:rPr>
          <w:rFonts w:ascii="Times New Roman" w:hAnsi="Times New Roman" w:cs="Times New Roman"/>
          <w:color w:val="000000" w:themeColor="text1"/>
          <w:sz w:val="24"/>
        </w:rPr>
      </w:pPr>
      <w:r w:rsidRPr="006A66DC">
        <w:rPr>
          <w:rFonts w:ascii="Times New Roman" w:hAnsi="Times New Roman" w:cs="Times New Roman"/>
          <w:color w:val="000000" w:themeColor="text1"/>
          <w:sz w:val="24"/>
        </w:rPr>
        <w:t xml:space="preserve">The </w:t>
      </w:r>
      <w:r w:rsidR="00A712BB" w:rsidRPr="006A66DC">
        <w:rPr>
          <w:rFonts w:ascii="Times New Roman" w:hAnsi="Times New Roman" w:cs="Times New Roman"/>
          <w:color w:val="000000" w:themeColor="text1"/>
          <w:sz w:val="24"/>
        </w:rPr>
        <w:t>Local Workforce Development B</w:t>
      </w:r>
      <w:r w:rsidR="008F3F87" w:rsidRPr="006A66DC">
        <w:rPr>
          <w:rFonts w:ascii="Times New Roman" w:hAnsi="Times New Roman" w:cs="Times New Roman"/>
          <w:color w:val="000000" w:themeColor="text1"/>
          <w:sz w:val="24"/>
        </w:rPr>
        <w:t>oard</w:t>
      </w:r>
      <w:r w:rsidR="001A44CD" w:rsidRPr="006A66DC">
        <w:rPr>
          <w:rFonts w:ascii="Times New Roman" w:hAnsi="Times New Roman" w:cs="Times New Roman"/>
          <w:color w:val="000000" w:themeColor="text1"/>
          <w:sz w:val="24"/>
        </w:rPr>
        <w:t xml:space="preserve"> </w:t>
      </w:r>
      <w:r w:rsidR="00A712BB" w:rsidRPr="006A66DC">
        <w:rPr>
          <w:rFonts w:ascii="Times New Roman" w:hAnsi="Times New Roman" w:cs="Times New Roman"/>
          <w:color w:val="000000" w:themeColor="text1"/>
          <w:sz w:val="24"/>
        </w:rPr>
        <w:t xml:space="preserve">(LWDB) </w:t>
      </w:r>
      <w:r w:rsidR="001A44CD" w:rsidRPr="006A66DC">
        <w:rPr>
          <w:rFonts w:ascii="Times New Roman" w:hAnsi="Times New Roman" w:cs="Times New Roman"/>
          <w:color w:val="000000" w:themeColor="text1"/>
          <w:sz w:val="24"/>
        </w:rPr>
        <w:t>should establish policy regarding the structure and criteria governing the use of ITAs</w:t>
      </w:r>
      <w:r w:rsidR="00EE33C6" w:rsidRPr="006A66DC">
        <w:rPr>
          <w:rFonts w:ascii="Times New Roman" w:hAnsi="Times New Roman" w:cs="Times New Roman"/>
          <w:sz w:val="24"/>
        </w:rPr>
        <w:t>, if the WDA chooses to use ITAs with WIOA Youth participants</w:t>
      </w:r>
      <w:r w:rsidR="001A44CD" w:rsidRPr="006A66DC">
        <w:rPr>
          <w:rFonts w:ascii="Times New Roman" w:hAnsi="Times New Roman" w:cs="Times New Roman"/>
          <w:color w:val="000000" w:themeColor="text1"/>
          <w:sz w:val="24"/>
        </w:rPr>
        <w:t>. The local policy might include</w:t>
      </w:r>
      <w:r w:rsidR="007624D5" w:rsidRPr="006A66DC">
        <w:rPr>
          <w:rFonts w:ascii="Times New Roman" w:hAnsi="Times New Roman" w:cs="Times New Roman"/>
          <w:color w:val="000000" w:themeColor="text1"/>
          <w:sz w:val="24"/>
        </w:rPr>
        <w:t xml:space="preserve"> (but not be limited to)</w:t>
      </w:r>
      <w:r w:rsidR="001A44CD" w:rsidRPr="006A66DC">
        <w:rPr>
          <w:rFonts w:ascii="Times New Roman" w:hAnsi="Times New Roman" w:cs="Times New Roman"/>
          <w:color w:val="000000" w:themeColor="text1"/>
          <w:sz w:val="24"/>
        </w:rPr>
        <w:t>:</w:t>
      </w:r>
    </w:p>
    <w:p w14:paraId="48DD64A2" w14:textId="77777777" w:rsidR="001A44CD" w:rsidRPr="006A66DC" w:rsidRDefault="001A44CD" w:rsidP="001A44CD">
      <w:pPr>
        <w:numPr>
          <w:ilvl w:val="0"/>
          <w:numId w:val="1"/>
        </w:numPr>
        <w:rPr>
          <w:rFonts w:ascii="Times New Roman" w:hAnsi="Times New Roman" w:cs="Times New Roman"/>
          <w:color w:val="000000" w:themeColor="text1"/>
          <w:sz w:val="24"/>
        </w:rPr>
      </w:pPr>
      <w:r w:rsidRPr="006A66DC">
        <w:rPr>
          <w:rFonts w:ascii="Times New Roman" w:hAnsi="Times New Roman" w:cs="Times New Roman"/>
          <w:color w:val="000000" w:themeColor="text1"/>
          <w:sz w:val="24"/>
        </w:rPr>
        <w:t>Requirements tying training to in-demand occupations;</w:t>
      </w:r>
    </w:p>
    <w:p w14:paraId="706A8938" w14:textId="0CD12120" w:rsidR="001A44CD" w:rsidRPr="006A66DC" w:rsidRDefault="001A44CD" w:rsidP="001A44CD">
      <w:pPr>
        <w:numPr>
          <w:ilvl w:val="0"/>
          <w:numId w:val="1"/>
        </w:numPr>
        <w:rPr>
          <w:rFonts w:ascii="Times New Roman" w:hAnsi="Times New Roman" w:cs="Times New Roman"/>
          <w:color w:val="000000" w:themeColor="text1"/>
          <w:sz w:val="24"/>
        </w:rPr>
      </w:pPr>
      <w:r w:rsidRPr="006A66DC">
        <w:rPr>
          <w:rFonts w:ascii="Times New Roman" w:hAnsi="Times New Roman" w:cs="Times New Roman"/>
          <w:color w:val="000000" w:themeColor="text1"/>
          <w:sz w:val="24"/>
        </w:rPr>
        <w:t>Providing training for occupations with established career pathways;</w:t>
      </w:r>
    </w:p>
    <w:p w14:paraId="421F188A" w14:textId="77777777" w:rsidR="00A9182D" w:rsidRPr="006A66DC" w:rsidRDefault="001A44CD" w:rsidP="00A9182D">
      <w:pPr>
        <w:numPr>
          <w:ilvl w:val="0"/>
          <w:numId w:val="1"/>
        </w:numPr>
        <w:rPr>
          <w:rFonts w:ascii="Times New Roman" w:hAnsi="Times New Roman" w:cs="Times New Roman"/>
          <w:color w:val="000000" w:themeColor="text1"/>
          <w:sz w:val="24"/>
        </w:rPr>
      </w:pPr>
      <w:r w:rsidRPr="006A66DC">
        <w:rPr>
          <w:rFonts w:ascii="Times New Roman" w:hAnsi="Times New Roman" w:cs="Times New Roman"/>
          <w:color w:val="000000" w:themeColor="text1"/>
          <w:sz w:val="24"/>
        </w:rPr>
        <w:t>Local caps on ITA expend</w:t>
      </w:r>
      <w:r w:rsidR="00A9182D" w:rsidRPr="006A66DC">
        <w:rPr>
          <w:rFonts w:ascii="Times New Roman" w:hAnsi="Times New Roman" w:cs="Times New Roman"/>
          <w:color w:val="000000" w:themeColor="text1"/>
          <w:sz w:val="24"/>
        </w:rPr>
        <w:t>itures and duration of training. Limits to ITAs may be established in different ways:</w:t>
      </w:r>
    </w:p>
    <w:p w14:paraId="3DFD2EE3" w14:textId="4816D607" w:rsidR="00A9182D" w:rsidRPr="006A66DC" w:rsidRDefault="00A9182D" w:rsidP="00A9182D">
      <w:pPr>
        <w:ind w:left="720"/>
        <w:rPr>
          <w:rFonts w:ascii="Times New Roman" w:hAnsi="Times New Roman" w:cs="Times New Roman"/>
          <w:color w:val="000000" w:themeColor="text1"/>
          <w:sz w:val="24"/>
        </w:rPr>
      </w:pPr>
      <w:r w:rsidRPr="006A66DC">
        <w:rPr>
          <w:rFonts w:ascii="Times New Roman" w:hAnsi="Times New Roman" w:cs="Times New Roman"/>
          <w:color w:val="000000" w:themeColor="text1"/>
          <w:sz w:val="24"/>
        </w:rPr>
        <w:t>(1) There may be a limit for an individual participant based on</w:t>
      </w:r>
      <w:r w:rsidR="008F3F87" w:rsidRPr="006A66DC">
        <w:rPr>
          <w:rFonts w:ascii="Times New Roman" w:hAnsi="Times New Roman" w:cs="Times New Roman"/>
          <w:color w:val="000000" w:themeColor="text1"/>
          <w:sz w:val="24"/>
        </w:rPr>
        <w:t xml:space="preserve"> need</w:t>
      </w:r>
      <w:r w:rsidR="008B5E26" w:rsidRPr="006A66DC">
        <w:rPr>
          <w:rFonts w:ascii="Times New Roman" w:hAnsi="Times New Roman" w:cs="Times New Roman"/>
          <w:color w:val="000000" w:themeColor="text1"/>
          <w:sz w:val="24"/>
        </w:rPr>
        <w:t>s</w:t>
      </w:r>
      <w:r w:rsidR="00EE33C6" w:rsidRPr="006A66DC">
        <w:rPr>
          <w:rFonts w:ascii="Times New Roman" w:hAnsi="Times New Roman" w:cs="Times New Roman"/>
          <w:color w:val="000000" w:themeColor="text1"/>
          <w:sz w:val="24"/>
        </w:rPr>
        <w:t xml:space="preserve"> and/or goals</w:t>
      </w:r>
      <w:r w:rsidR="008B5E26" w:rsidRPr="006A66DC">
        <w:rPr>
          <w:rFonts w:ascii="Times New Roman" w:hAnsi="Times New Roman" w:cs="Times New Roman"/>
          <w:color w:val="000000" w:themeColor="text1"/>
          <w:sz w:val="24"/>
        </w:rPr>
        <w:t xml:space="preserve"> identified in the </w:t>
      </w:r>
      <w:r w:rsidR="0092677E" w:rsidRPr="006A66DC">
        <w:rPr>
          <w:rFonts w:ascii="Times New Roman" w:hAnsi="Times New Roman" w:cs="Times New Roman"/>
          <w:color w:val="000000" w:themeColor="text1"/>
          <w:sz w:val="24"/>
        </w:rPr>
        <w:t>ISS</w:t>
      </w:r>
      <w:r w:rsidRPr="006A66DC">
        <w:rPr>
          <w:rFonts w:ascii="Times New Roman" w:hAnsi="Times New Roman" w:cs="Times New Roman"/>
          <w:color w:val="000000" w:themeColor="text1"/>
          <w:sz w:val="24"/>
        </w:rPr>
        <w:t xml:space="preserve">, such as the participant’s occupational </w:t>
      </w:r>
      <w:r w:rsidR="00EE33C6" w:rsidRPr="006A66DC">
        <w:rPr>
          <w:rFonts w:ascii="Times New Roman" w:hAnsi="Times New Roman" w:cs="Times New Roman"/>
          <w:color w:val="000000" w:themeColor="text1"/>
          <w:sz w:val="24"/>
        </w:rPr>
        <w:t>interests</w:t>
      </w:r>
      <w:r w:rsidRPr="006A66DC">
        <w:rPr>
          <w:rFonts w:ascii="Times New Roman" w:hAnsi="Times New Roman" w:cs="Times New Roman"/>
          <w:color w:val="000000" w:themeColor="text1"/>
          <w:sz w:val="24"/>
        </w:rPr>
        <w:t xml:space="preserve"> and the level of training needed to succeed in that goal; or</w:t>
      </w:r>
    </w:p>
    <w:p w14:paraId="34FCA29E" w14:textId="21C41419" w:rsidR="001A44CD" w:rsidRPr="006A66DC" w:rsidRDefault="00A9182D" w:rsidP="00A9182D">
      <w:pPr>
        <w:ind w:left="720"/>
        <w:rPr>
          <w:rFonts w:ascii="Times New Roman" w:hAnsi="Times New Roman" w:cs="Times New Roman"/>
          <w:color w:val="000000" w:themeColor="text1"/>
          <w:sz w:val="24"/>
        </w:rPr>
      </w:pPr>
      <w:r w:rsidRPr="006A66DC">
        <w:rPr>
          <w:rFonts w:ascii="Times New Roman" w:hAnsi="Times New Roman" w:cs="Times New Roman"/>
          <w:color w:val="000000" w:themeColor="text1"/>
          <w:sz w:val="24"/>
        </w:rPr>
        <w:t xml:space="preserve">(2) </w:t>
      </w:r>
      <w:r w:rsidR="00EE33C6" w:rsidRPr="006A66DC">
        <w:rPr>
          <w:rFonts w:ascii="Times New Roman" w:hAnsi="Times New Roman" w:cs="Times New Roman"/>
          <w:color w:val="000000" w:themeColor="text1"/>
          <w:sz w:val="24"/>
        </w:rPr>
        <w:t>The</w:t>
      </w:r>
      <w:r w:rsidRPr="006A66DC">
        <w:rPr>
          <w:rFonts w:ascii="Times New Roman" w:hAnsi="Times New Roman" w:cs="Times New Roman"/>
          <w:color w:val="000000" w:themeColor="text1"/>
          <w:sz w:val="24"/>
        </w:rPr>
        <w:t xml:space="preserve"> LWDB </w:t>
      </w:r>
      <w:r w:rsidR="00EE33C6" w:rsidRPr="006A66DC">
        <w:rPr>
          <w:rFonts w:ascii="Times New Roman" w:hAnsi="Times New Roman" w:cs="Times New Roman"/>
          <w:color w:val="000000" w:themeColor="text1"/>
          <w:sz w:val="24"/>
        </w:rPr>
        <w:t>may</w:t>
      </w:r>
      <w:r w:rsidRPr="006A66DC">
        <w:rPr>
          <w:rFonts w:ascii="Times New Roman" w:hAnsi="Times New Roman" w:cs="Times New Roman"/>
          <w:color w:val="000000" w:themeColor="text1"/>
          <w:sz w:val="24"/>
        </w:rPr>
        <w:t xml:space="preserve"> establish a maximum amount </w:t>
      </w:r>
      <w:r w:rsidR="007624D5" w:rsidRPr="006A66DC">
        <w:rPr>
          <w:rFonts w:ascii="Times New Roman" w:hAnsi="Times New Roman" w:cs="Times New Roman"/>
          <w:color w:val="000000" w:themeColor="text1"/>
          <w:sz w:val="24"/>
        </w:rPr>
        <w:t xml:space="preserve">of funding </w:t>
      </w:r>
      <w:r w:rsidRPr="006A66DC">
        <w:rPr>
          <w:rFonts w:ascii="Times New Roman" w:hAnsi="Times New Roman" w:cs="Times New Roman"/>
          <w:color w:val="000000" w:themeColor="text1"/>
          <w:sz w:val="24"/>
        </w:rPr>
        <w:t>applicable to all ITAs</w:t>
      </w:r>
      <w:r w:rsidR="007624D5" w:rsidRPr="006A66DC">
        <w:rPr>
          <w:rFonts w:ascii="Times New Roman" w:hAnsi="Times New Roman" w:cs="Times New Roman"/>
          <w:color w:val="000000" w:themeColor="text1"/>
          <w:sz w:val="24"/>
        </w:rPr>
        <w:t>, and/or limitations on what may be covered via program dollars through the ITA</w:t>
      </w:r>
      <w:r w:rsidRPr="006A66DC">
        <w:rPr>
          <w:rFonts w:ascii="Times New Roman" w:hAnsi="Times New Roman" w:cs="Times New Roman"/>
          <w:color w:val="000000" w:themeColor="text1"/>
          <w:sz w:val="24"/>
        </w:rPr>
        <w:t>.</w:t>
      </w:r>
    </w:p>
    <w:p w14:paraId="5AF74D4E" w14:textId="65DB08D5" w:rsidR="001A44CD" w:rsidRPr="006A66DC" w:rsidRDefault="001A44CD" w:rsidP="001A44CD">
      <w:pPr>
        <w:numPr>
          <w:ilvl w:val="0"/>
          <w:numId w:val="1"/>
        </w:numPr>
        <w:rPr>
          <w:rFonts w:ascii="Times New Roman" w:hAnsi="Times New Roman" w:cs="Times New Roman"/>
          <w:sz w:val="24"/>
        </w:rPr>
      </w:pPr>
      <w:r w:rsidRPr="006A66DC">
        <w:rPr>
          <w:rFonts w:ascii="Times New Roman" w:hAnsi="Times New Roman" w:cs="Times New Roman"/>
          <w:sz w:val="24"/>
        </w:rPr>
        <w:t xml:space="preserve">Any other </w:t>
      </w:r>
      <w:r w:rsidR="00A54FF0" w:rsidRPr="006A66DC">
        <w:rPr>
          <w:rFonts w:ascii="Times New Roman" w:hAnsi="Times New Roman" w:cs="Times New Roman"/>
          <w:sz w:val="24"/>
        </w:rPr>
        <w:t xml:space="preserve">local policy-based ITA </w:t>
      </w:r>
      <w:r w:rsidRPr="006A66DC">
        <w:rPr>
          <w:rFonts w:ascii="Times New Roman" w:hAnsi="Times New Roman" w:cs="Times New Roman"/>
          <w:sz w:val="24"/>
        </w:rPr>
        <w:t xml:space="preserve">criteria </w:t>
      </w:r>
      <w:r w:rsidR="00A54FF0" w:rsidRPr="006A66DC">
        <w:rPr>
          <w:rFonts w:ascii="Times New Roman" w:hAnsi="Times New Roman" w:cs="Times New Roman"/>
          <w:sz w:val="24"/>
        </w:rPr>
        <w:t>approved by the Local Board</w:t>
      </w:r>
      <w:r w:rsidRPr="006A66DC">
        <w:rPr>
          <w:rFonts w:ascii="Times New Roman" w:hAnsi="Times New Roman" w:cs="Times New Roman"/>
          <w:sz w:val="24"/>
        </w:rPr>
        <w:t>.</w:t>
      </w:r>
    </w:p>
    <w:p w14:paraId="5C5D953B" w14:textId="77777777" w:rsidR="001A44CD" w:rsidRPr="007102DE" w:rsidRDefault="001A44CD" w:rsidP="001A44CD">
      <w:pPr>
        <w:rPr>
          <w:rFonts w:ascii="Times New Roman" w:hAnsi="Times New Roman" w:cs="Times New Roman"/>
          <w:sz w:val="24"/>
        </w:rPr>
      </w:pPr>
      <w:r w:rsidRPr="007102DE">
        <w:rPr>
          <w:rFonts w:ascii="Times New Roman" w:hAnsi="Times New Roman" w:cs="Times New Roman"/>
          <w:sz w:val="24"/>
        </w:rPr>
        <w:t>The exact nature of the ITA and for whom it will be used is decided at the local level. The following issues are examples of the types of decision</w:t>
      </w:r>
      <w:r w:rsidR="008F3F87">
        <w:rPr>
          <w:rFonts w:ascii="Times New Roman" w:hAnsi="Times New Roman" w:cs="Times New Roman"/>
          <w:sz w:val="24"/>
        </w:rPr>
        <w:t xml:space="preserve">s that should be made by the </w:t>
      </w:r>
      <w:r w:rsidR="0092677E">
        <w:rPr>
          <w:rFonts w:ascii="Times New Roman" w:hAnsi="Times New Roman" w:cs="Times New Roman"/>
          <w:sz w:val="24"/>
        </w:rPr>
        <w:t>WDA</w:t>
      </w:r>
      <w:r w:rsidRPr="007102DE">
        <w:rPr>
          <w:rFonts w:ascii="Times New Roman" w:hAnsi="Times New Roman" w:cs="Times New Roman"/>
          <w:sz w:val="24"/>
        </w:rPr>
        <w:t xml:space="preserve"> and included in the policy:</w:t>
      </w:r>
    </w:p>
    <w:p w14:paraId="0D32E7DB" w14:textId="77777777" w:rsidR="001A44CD" w:rsidRPr="007102DE" w:rsidRDefault="001A44CD" w:rsidP="001A44CD">
      <w:pPr>
        <w:numPr>
          <w:ilvl w:val="0"/>
          <w:numId w:val="3"/>
        </w:numPr>
        <w:rPr>
          <w:rFonts w:ascii="Times New Roman" w:hAnsi="Times New Roman" w:cs="Times New Roman"/>
          <w:sz w:val="24"/>
        </w:rPr>
      </w:pPr>
      <w:r w:rsidRPr="007102DE">
        <w:rPr>
          <w:rFonts w:ascii="Times New Roman" w:hAnsi="Times New Roman" w:cs="Times New Roman"/>
          <w:sz w:val="24"/>
        </w:rPr>
        <w:t>Who will be an appropriate candidate for an ITA?</w:t>
      </w:r>
    </w:p>
    <w:p w14:paraId="74F573DA" w14:textId="77777777" w:rsidR="001A44CD" w:rsidRPr="007102DE" w:rsidRDefault="001A44CD" w:rsidP="001A44CD">
      <w:pPr>
        <w:numPr>
          <w:ilvl w:val="0"/>
          <w:numId w:val="3"/>
        </w:numPr>
        <w:rPr>
          <w:rFonts w:ascii="Times New Roman" w:hAnsi="Times New Roman" w:cs="Times New Roman"/>
          <w:sz w:val="24"/>
        </w:rPr>
      </w:pPr>
      <w:r w:rsidRPr="007102DE">
        <w:rPr>
          <w:rFonts w:ascii="Times New Roman" w:hAnsi="Times New Roman" w:cs="Times New Roman"/>
          <w:sz w:val="24"/>
        </w:rPr>
        <w:lastRenderedPageBreak/>
        <w:t>Who will be required to sign off on an ITA?</w:t>
      </w:r>
    </w:p>
    <w:p w14:paraId="076A7459" w14:textId="77777777" w:rsidR="001A44CD" w:rsidRPr="007102DE" w:rsidRDefault="001A44CD" w:rsidP="001A44CD">
      <w:pPr>
        <w:numPr>
          <w:ilvl w:val="0"/>
          <w:numId w:val="3"/>
        </w:numPr>
        <w:rPr>
          <w:rFonts w:ascii="Times New Roman" w:hAnsi="Times New Roman" w:cs="Times New Roman"/>
          <w:sz w:val="24"/>
        </w:rPr>
      </w:pPr>
      <w:r w:rsidRPr="007102DE">
        <w:rPr>
          <w:rFonts w:ascii="Times New Roman" w:hAnsi="Times New Roman" w:cs="Times New Roman"/>
          <w:sz w:val="24"/>
        </w:rPr>
        <w:t>What will be the payment mechanism (e.g. vouchers, electronic fund transfer, consumer</w:t>
      </w:r>
      <w:r w:rsidR="00B500AE" w:rsidRPr="007102DE">
        <w:rPr>
          <w:rFonts w:ascii="Times New Roman" w:hAnsi="Times New Roman" w:cs="Times New Roman"/>
          <w:sz w:val="24"/>
        </w:rPr>
        <w:t xml:space="preserve"> </w:t>
      </w:r>
      <w:r w:rsidRPr="007102DE">
        <w:rPr>
          <w:rFonts w:ascii="Times New Roman" w:hAnsi="Times New Roman" w:cs="Times New Roman"/>
          <w:sz w:val="24"/>
        </w:rPr>
        <w:t>“smart cards”, or other methods)?</w:t>
      </w:r>
    </w:p>
    <w:p w14:paraId="19FE4171" w14:textId="77777777" w:rsidR="001A44CD" w:rsidRPr="007102DE" w:rsidRDefault="001A44CD" w:rsidP="001A44CD">
      <w:pPr>
        <w:numPr>
          <w:ilvl w:val="0"/>
          <w:numId w:val="3"/>
        </w:numPr>
        <w:rPr>
          <w:rFonts w:ascii="Times New Roman" w:hAnsi="Times New Roman" w:cs="Times New Roman"/>
          <w:sz w:val="24"/>
        </w:rPr>
      </w:pPr>
      <w:r w:rsidRPr="007102DE">
        <w:rPr>
          <w:rFonts w:ascii="Times New Roman" w:hAnsi="Times New Roman" w:cs="Times New Roman"/>
          <w:sz w:val="24"/>
        </w:rPr>
        <w:t>What processes or procedures will be used to track ITA payments?</w:t>
      </w:r>
    </w:p>
    <w:p w14:paraId="4A214DFD" w14:textId="56E148F9" w:rsidR="001A44CD" w:rsidRPr="006A66DC" w:rsidRDefault="001A44CD" w:rsidP="001A44CD">
      <w:pPr>
        <w:numPr>
          <w:ilvl w:val="0"/>
          <w:numId w:val="3"/>
        </w:numPr>
        <w:rPr>
          <w:rFonts w:ascii="Times New Roman" w:hAnsi="Times New Roman" w:cs="Times New Roman"/>
          <w:sz w:val="24"/>
        </w:rPr>
      </w:pPr>
      <w:r w:rsidRPr="007102DE">
        <w:rPr>
          <w:rFonts w:ascii="Times New Roman" w:hAnsi="Times New Roman" w:cs="Times New Roman"/>
          <w:sz w:val="24"/>
        </w:rPr>
        <w:t>Will the ITA be for a specific amount</w:t>
      </w:r>
      <w:r w:rsidR="00E66EC8">
        <w:rPr>
          <w:rFonts w:ascii="Times New Roman" w:hAnsi="Times New Roman" w:cs="Times New Roman"/>
          <w:sz w:val="24"/>
        </w:rPr>
        <w:t xml:space="preserve">, </w:t>
      </w:r>
      <w:r w:rsidRPr="007102DE">
        <w:rPr>
          <w:rFonts w:ascii="Times New Roman" w:hAnsi="Times New Roman" w:cs="Times New Roman"/>
          <w:sz w:val="24"/>
        </w:rPr>
        <w:t xml:space="preserve">time </w:t>
      </w:r>
      <w:r w:rsidRPr="006A66DC">
        <w:rPr>
          <w:rFonts w:ascii="Times New Roman" w:hAnsi="Times New Roman" w:cs="Times New Roman"/>
          <w:sz w:val="24"/>
        </w:rPr>
        <w:t>period</w:t>
      </w:r>
      <w:r w:rsidR="00E66EC8" w:rsidRPr="006A66DC">
        <w:rPr>
          <w:rFonts w:ascii="Times New Roman" w:hAnsi="Times New Roman" w:cs="Times New Roman"/>
          <w:sz w:val="24"/>
        </w:rPr>
        <w:t xml:space="preserve"> or both</w:t>
      </w:r>
      <w:r w:rsidRPr="006A66DC">
        <w:rPr>
          <w:rFonts w:ascii="Times New Roman" w:hAnsi="Times New Roman" w:cs="Times New Roman"/>
          <w:sz w:val="24"/>
        </w:rPr>
        <w:t>?</w:t>
      </w:r>
    </w:p>
    <w:p w14:paraId="7AB9B6C0" w14:textId="77777777" w:rsidR="001A44CD" w:rsidRPr="006A66DC" w:rsidRDefault="001A44CD" w:rsidP="001A44CD">
      <w:pPr>
        <w:numPr>
          <w:ilvl w:val="0"/>
          <w:numId w:val="3"/>
        </w:numPr>
        <w:rPr>
          <w:rFonts w:ascii="Times New Roman" w:hAnsi="Times New Roman" w:cs="Times New Roman"/>
          <w:sz w:val="24"/>
        </w:rPr>
      </w:pPr>
      <w:r w:rsidRPr="006A66DC">
        <w:rPr>
          <w:rFonts w:ascii="Times New Roman" w:hAnsi="Times New Roman" w:cs="Times New Roman"/>
          <w:sz w:val="24"/>
        </w:rPr>
        <w:t>Will the ITA include anything other than tuition, books, fees and supplies (such as supportive services)?</w:t>
      </w:r>
    </w:p>
    <w:p w14:paraId="41A4EDC5" w14:textId="77777777" w:rsidR="001A44CD" w:rsidRPr="006A66DC" w:rsidRDefault="001A44CD" w:rsidP="001A44CD">
      <w:pPr>
        <w:rPr>
          <w:rFonts w:ascii="Times New Roman" w:hAnsi="Times New Roman" w:cs="Times New Roman"/>
          <w:bCs/>
          <w:sz w:val="24"/>
        </w:rPr>
      </w:pPr>
      <w:r w:rsidRPr="006A66DC">
        <w:rPr>
          <w:rFonts w:ascii="Times New Roman" w:hAnsi="Times New Roman" w:cs="Times New Roman"/>
          <w:bCs/>
          <w:sz w:val="24"/>
        </w:rPr>
        <w:t>Certain basic princ</w:t>
      </w:r>
      <w:r w:rsidR="00EF5AB8" w:rsidRPr="006A66DC">
        <w:rPr>
          <w:rFonts w:ascii="Times New Roman" w:hAnsi="Times New Roman" w:cs="Times New Roman"/>
          <w:bCs/>
          <w:sz w:val="24"/>
        </w:rPr>
        <w:t>iples must be followed by ALL WD</w:t>
      </w:r>
      <w:r w:rsidRPr="006A66DC">
        <w:rPr>
          <w:rFonts w:ascii="Times New Roman" w:hAnsi="Times New Roman" w:cs="Times New Roman"/>
          <w:bCs/>
          <w:sz w:val="24"/>
        </w:rPr>
        <w:t>As in establishing systems for the use of ITAs:</w:t>
      </w:r>
    </w:p>
    <w:p w14:paraId="6F426885" w14:textId="0EBBE877" w:rsidR="001A44CD" w:rsidRPr="006A66DC" w:rsidRDefault="001A44CD" w:rsidP="001A44CD">
      <w:pPr>
        <w:numPr>
          <w:ilvl w:val="0"/>
          <w:numId w:val="2"/>
        </w:numPr>
        <w:rPr>
          <w:rFonts w:ascii="Times New Roman" w:hAnsi="Times New Roman" w:cs="Times New Roman"/>
          <w:bCs/>
          <w:sz w:val="24"/>
        </w:rPr>
      </w:pPr>
      <w:r w:rsidRPr="006A66DC">
        <w:rPr>
          <w:rFonts w:ascii="Times New Roman" w:hAnsi="Times New Roman" w:cs="Times New Roman"/>
          <w:bCs/>
          <w:sz w:val="24"/>
        </w:rPr>
        <w:t xml:space="preserve">ITAs can only be used for </w:t>
      </w:r>
      <w:r w:rsidR="00A54FF0" w:rsidRPr="006A66DC">
        <w:rPr>
          <w:rFonts w:ascii="Times New Roman" w:hAnsi="Times New Roman" w:cs="Times New Roman"/>
          <w:bCs/>
          <w:sz w:val="24"/>
        </w:rPr>
        <w:t xml:space="preserve">WIOA </w:t>
      </w:r>
      <w:r w:rsidRPr="006A66DC">
        <w:rPr>
          <w:rFonts w:ascii="Times New Roman" w:hAnsi="Times New Roman" w:cs="Times New Roman"/>
          <w:bCs/>
          <w:sz w:val="24"/>
        </w:rPr>
        <w:t>eligible participants</w:t>
      </w:r>
      <w:r w:rsidR="00A54FF0" w:rsidRPr="006A66DC">
        <w:rPr>
          <w:rFonts w:ascii="Times New Roman" w:hAnsi="Times New Roman" w:cs="Times New Roman"/>
          <w:bCs/>
          <w:sz w:val="24"/>
        </w:rPr>
        <w:t>.</w:t>
      </w:r>
      <w:r w:rsidR="000457BA">
        <w:rPr>
          <w:rFonts w:ascii="Times New Roman" w:hAnsi="Times New Roman" w:cs="Times New Roman"/>
          <w:bCs/>
          <w:sz w:val="24"/>
        </w:rPr>
        <w:t xml:space="preserve"> </w:t>
      </w:r>
      <w:r w:rsidR="000457BA" w:rsidRPr="000457BA">
        <w:rPr>
          <w:rFonts w:ascii="Times New Roman" w:hAnsi="Times New Roman" w:cs="Times New Roman"/>
          <w:bCs/>
          <w:sz w:val="24"/>
          <w:highlight w:val="yellow"/>
        </w:rPr>
        <w:t xml:space="preserve">A participant must have work authorization to qualify for an ITA, or any occupational </w:t>
      </w:r>
      <w:r w:rsidR="003D6137">
        <w:rPr>
          <w:rFonts w:ascii="Times New Roman" w:hAnsi="Times New Roman" w:cs="Times New Roman"/>
          <w:bCs/>
          <w:sz w:val="24"/>
          <w:highlight w:val="yellow"/>
        </w:rPr>
        <w:t xml:space="preserve">post-secondary </w:t>
      </w:r>
      <w:r w:rsidR="000457BA" w:rsidRPr="000457BA">
        <w:rPr>
          <w:rFonts w:ascii="Times New Roman" w:hAnsi="Times New Roman" w:cs="Times New Roman"/>
          <w:bCs/>
          <w:sz w:val="24"/>
          <w:highlight w:val="yellow"/>
        </w:rPr>
        <w:t>training.</w:t>
      </w:r>
    </w:p>
    <w:p w14:paraId="61B09ADE" w14:textId="32F70B86" w:rsidR="001A44CD" w:rsidRPr="006A66DC" w:rsidRDefault="001A44CD" w:rsidP="001A44CD">
      <w:pPr>
        <w:numPr>
          <w:ilvl w:val="0"/>
          <w:numId w:val="2"/>
        </w:numPr>
        <w:rPr>
          <w:rFonts w:ascii="Times New Roman" w:hAnsi="Times New Roman" w:cs="Times New Roman"/>
          <w:bCs/>
          <w:color w:val="000000" w:themeColor="text1"/>
          <w:sz w:val="24"/>
        </w:rPr>
      </w:pPr>
      <w:r w:rsidRPr="006A66DC">
        <w:rPr>
          <w:rFonts w:ascii="Times New Roman" w:hAnsi="Times New Roman" w:cs="Times New Roman"/>
          <w:bCs/>
          <w:sz w:val="24"/>
        </w:rPr>
        <w:t>ITAs can only be used with WIOA-certified training prog</w:t>
      </w:r>
      <w:r w:rsidRPr="006A66DC">
        <w:rPr>
          <w:rFonts w:ascii="Times New Roman" w:hAnsi="Times New Roman" w:cs="Times New Roman"/>
          <w:bCs/>
          <w:color w:val="000000" w:themeColor="text1"/>
          <w:sz w:val="24"/>
        </w:rPr>
        <w:t xml:space="preserve">rams.  </w:t>
      </w:r>
      <w:r w:rsidR="002F6B5B" w:rsidRPr="006A66DC">
        <w:rPr>
          <w:rFonts w:ascii="Times New Roman" w:hAnsi="Times New Roman" w:cs="Times New Roman"/>
          <w:bCs/>
          <w:color w:val="000000" w:themeColor="text1"/>
          <w:sz w:val="24"/>
        </w:rPr>
        <w:t xml:space="preserve">Training providers must be on the Eligible Training Provider List (ETPL). </w:t>
      </w:r>
      <w:r w:rsidR="00E66EC8" w:rsidRPr="006A66DC">
        <w:rPr>
          <w:rFonts w:ascii="Times New Roman" w:hAnsi="Times New Roman" w:cs="Times New Roman"/>
          <w:b/>
          <w:sz w:val="24"/>
        </w:rPr>
        <w:t xml:space="preserve">Reminder: </w:t>
      </w:r>
      <w:r w:rsidR="00F60B8C" w:rsidRPr="006A66DC">
        <w:rPr>
          <w:rFonts w:ascii="Times New Roman" w:hAnsi="Times New Roman" w:cs="Times New Roman"/>
          <w:b/>
          <w:sz w:val="24"/>
        </w:rPr>
        <w:t>ITAs are NOT required under WIOA Youth to provide training services. Use of the ETPL</w:t>
      </w:r>
      <w:r w:rsidR="000457BA">
        <w:rPr>
          <w:rFonts w:ascii="Times New Roman" w:hAnsi="Times New Roman" w:cs="Times New Roman"/>
          <w:b/>
          <w:sz w:val="24"/>
        </w:rPr>
        <w:t xml:space="preserve"> </w:t>
      </w:r>
      <w:r w:rsidR="000457BA" w:rsidRPr="000457BA">
        <w:rPr>
          <w:rFonts w:ascii="Times New Roman" w:hAnsi="Times New Roman" w:cs="Times New Roman"/>
          <w:b/>
          <w:sz w:val="24"/>
          <w:highlight w:val="yellow"/>
        </w:rPr>
        <w:t>when providing training outside an ITA</w:t>
      </w:r>
      <w:r w:rsidR="00F60B8C" w:rsidRPr="006A66DC">
        <w:rPr>
          <w:rFonts w:ascii="Times New Roman" w:hAnsi="Times New Roman" w:cs="Times New Roman"/>
          <w:b/>
          <w:sz w:val="24"/>
        </w:rPr>
        <w:t xml:space="preserve"> is optional but encouraged.</w:t>
      </w:r>
    </w:p>
    <w:p w14:paraId="4F322DDC" w14:textId="77777777" w:rsidR="001A44CD" w:rsidRPr="00110593" w:rsidRDefault="001A44CD" w:rsidP="001A44CD">
      <w:pPr>
        <w:numPr>
          <w:ilvl w:val="0"/>
          <w:numId w:val="2"/>
        </w:numPr>
        <w:rPr>
          <w:rFonts w:ascii="Times New Roman" w:hAnsi="Times New Roman" w:cs="Times New Roman"/>
          <w:bCs/>
          <w:color w:val="000000" w:themeColor="text1"/>
          <w:sz w:val="24"/>
        </w:rPr>
      </w:pPr>
      <w:r w:rsidRPr="006A66DC">
        <w:rPr>
          <w:rFonts w:ascii="Times New Roman" w:hAnsi="Times New Roman" w:cs="Times New Roman"/>
          <w:bCs/>
          <w:color w:val="000000" w:themeColor="text1"/>
          <w:sz w:val="24"/>
        </w:rPr>
        <w:t>A school must be willing to accept ITAs in order to be a WIOA-certified</w:t>
      </w:r>
      <w:r w:rsidRPr="00110593">
        <w:rPr>
          <w:rFonts w:ascii="Times New Roman" w:hAnsi="Times New Roman" w:cs="Times New Roman"/>
          <w:bCs/>
          <w:color w:val="000000" w:themeColor="text1"/>
          <w:sz w:val="24"/>
        </w:rPr>
        <w:t xml:space="preserve"> training program provider.</w:t>
      </w:r>
    </w:p>
    <w:p w14:paraId="53162A63" w14:textId="77777777" w:rsidR="001A44CD" w:rsidRPr="00110593" w:rsidRDefault="001A44CD" w:rsidP="001A44CD">
      <w:pPr>
        <w:numPr>
          <w:ilvl w:val="0"/>
          <w:numId w:val="2"/>
        </w:numPr>
        <w:rPr>
          <w:rFonts w:ascii="Times New Roman" w:hAnsi="Times New Roman" w:cs="Times New Roman"/>
          <w:bCs/>
          <w:color w:val="000000" w:themeColor="text1"/>
          <w:sz w:val="24"/>
        </w:rPr>
      </w:pPr>
      <w:r w:rsidRPr="00110593">
        <w:rPr>
          <w:rFonts w:ascii="Times New Roman" w:hAnsi="Times New Roman" w:cs="Times New Roman"/>
          <w:bCs/>
          <w:color w:val="000000" w:themeColor="text1"/>
          <w:sz w:val="24"/>
        </w:rPr>
        <w:t>An individual must be able to access data on how many dollars are in his/her ITA.  (The mechanism for doing this is a local decision.)</w:t>
      </w:r>
    </w:p>
    <w:p w14:paraId="1464ED29" w14:textId="77777777" w:rsidR="001A44CD" w:rsidRPr="00110593" w:rsidRDefault="001A44CD" w:rsidP="001A44CD">
      <w:pPr>
        <w:numPr>
          <w:ilvl w:val="0"/>
          <w:numId w:val="2"/>
        </w:numPr>
        <w:rPr>
          <w:rFonts w:ascii="Times New Roman" w:hAnsi="Times New Roman" w:cs="Times New Roman"/>
          <w:bCs/>
          <w:color w:val="000000" w:themeColor="text1"/>
          <w:sz w:val="24"/>
        </w:rPr>
      </w:pPr>
      <w:r w:rsidRPr="00110593">
        <w:rPr>
          <w:rFonts w:ascii="Times New Roman" w:hAnsi="Times New Roman" w:cs="Times New Roman"/>
          <w:bCs/>
          <w:color w:val="000000" w:themeColor="text1"/>
          <w:sz w:val="24"/>
        </w:rPr>
        <w:t>An ITA may include money for supportive services, but this is a local decision.</w:t>
      </w:r>
    </w:p>
    <w:p w14:paraId="7EEB0586" w14:textId="77777777" w:rsidR="001A44CD" w:rsidRPr="00110593" w:rsidRDefault="001A44CD" w:rsidP="001A44CD">
      <w:pPr>
        <w:numPr>
          <w:ilvl w:val="0"/>
          <w:numId w:val="2"/>
        </w:numPr>
        <w:rPr>
          <w:rFonts w:ascii="Times New Roman" w:hAnsi="Times New Roman" w:cs="Times New Roman"/>
          <w:bCs/>
          <w:color w:val="000000" w:themeColor="text1"/>
          <w:sz w:val="24"/>
        </w:rPr>
      </w:pPr>
      <w:r w:rsidRPr="00110593">
        <w:rPr>
          <w:rFonts w:ascii="Times New Roman" w:hAnsi="Times New Roman" w:cs="Times New Roman"/>
          <w:bCs/>
          <w:color w:val="000000" w:themeColor="text1"/>
          <w:sz w:val="24"/>
        </w:rPr>
        <w:t>An ITA must be part of an I</w:t>
      </w:r>
      <w:r w:rsidR="002F6B5B" w:rsidRPr="00110593">
        <w:rPr>
          <w:rFonts w:ascii="Times New Roman" w:hAnsi="Times New Roman" w:cs="Times New Roman"/>
          <w:bCs/>
          <w:color w:val="000000" w:themeColor="text1"/>
          <w:sz w:val="24"/>
        </w:rPr>
        <w:t xml:space="preserve">SS </w:t>
      </w:r>
      <w:r w:rsidRPr="00110593">
        <w:rPr>
          <w:rFonts w:ascii="Times New Roman" w:hAnsi="Times New Roman" w:cs="Times New Roman"/>
          <w:bCs/>
          <w:color w:val="000000" w:themeColor="text1"/>
          <w:sz w:val="24"/>
        </w:rPr>
        <w:t>that is agreed to by both the participant and counselor/case manager.</w:t>
      </w:r>
    </w:p>
    <w:p w14:paraId="193FD866" w14:textId="77777777" w:rsidR="001A44CD" w:rsidRPr="00110593" w:rsidRDefault="001A44CD" w:rsidP="001A44CD">
      <w:pPr>
        <w:numPr>
          <w:ilvl w:val="0"/>
          <w:numId w:val="2"/>
        </w:numPr>
        <w:rPr>
          <w:rFonts w:ascii="Times New Roman" w:hAnsi="Times New Roman" w:cs="Times New Roman"/>
          <w:bCs/>
          <w:color w:val="000000" w:themeColor="text1"/>
          <w:sz w:val="24"/>
        </w:rPr>
      </w:pPr>
      <w:r w:rsidRPr="00110593">
        <w:rPr>
          <w:rFonts w:ascii="Times New Roman" w:hAnsi="Times New Roman" w:cs="Times New Roman"/>
          <w:bCs/>
          <w:color w:val="000000" w:themeColor="text1"/>
          <w:sz w:val="24"/>
        </w:rPr>
        <w:t>An ITA must be used in conjunction with other applicable funding sources.</w:t>
      </w:r>
    </w:p>
    <w:p w14:paraId="415D7821" w14:textId="77777777" w:rsidR="001A44CD" w:rsidRDefault="001A44CD" w:rsidP="001A44CD">
      <w:pPr>
        <w:rPr>
          <w:rFonts w:ascii="Times New Roman" w:hAnsi="Times New Roman" w:cs="Times New Roman"/>
          <w:color w:val="000000" w:themeColor="text1"/>
          <w:sz w:val="24"/>
        </w:rPr>
      </w:pPr>
      <w:r w:rsidRPr="00110593">
        <w:rPr>
          <w:rFonts w:ascii="Times New Roman" w:hAnsi="Times New Roman" w:cs="Times New Roman"/>
          <w:color w:val="000000" w:themeColor="text1"/>
          <w:sz w:val="24"/>
        </w:rPr>
        <w:t>Expenditures and enrollment should also be tracked locally for older yo</w:t>
      </w:r>
      <w:r w:rsidR="007C0921" w:rsidRPr="00110593">
        <w:rPr>
          <w:rFonts w:ascii="Times New Roman" w:hAnsi="Times New Roman" w:cs="Times New Roman"/>
          <w:color w:val="000000" w:themeColor="text1"/>
          <w:sz w:val="24"/>
        </w:rPr>
        <w:t>uth ITAs.  The ITA allows the WD</w:t>
      </w:r>
      <w:r w:rsidRPr="00110593">
        <w:rPr>
          <w:rFonts w:ascii="Times New Roman" w:hAnsi="Times New Roman" w:cs="Times New Roman"/>
          <w:color w:val="000000" w:themeColor="text1"/>
          <w:sz w:val="24"/>
        </w:rPr>
        <w:t xml:space="preserve">A to more carefully monitor what is being spent on training and training related costs.  </w:t>
      </w:r>
    </w:p>
    <w:p w14:paraId="39D650DF" w14:textId="77777777" w:rsidR="0073437C" w:rsidRPr="003B27EA" w:rsidRDefault="0073437C" w:rsidP="001A44CD">
      <w:pPr>
        <w:rPr>
          <w:rFonts w:ascii="Times New Roman" w:hAnsi="Times New Roman" w:cs="Times New Roman"/>
          <w:color w:val="000000" w:themeColor="text1"/>
          <w:sz w:val="24"/>
        </w:rPr>
      </w:pPr>
      <w:r w:rsidRPr="003B27EA">
        <w:rPr>
          <w:rFonts w:ascii="Times New Roman" w:hAnsi="Times New Roman" w:cs="Times New Roman"/>
          <w:color w:val="000000" w:themeColor="text1"/>
          <w:sz w:val="24"/>
        </w:rPr>
        <w:t>Information maintained in the case file and/or data recorded in Workforce One relating to ITAs may be subject to data validation requirements that are currently under development.</w:t>
      </w:r>
    </w:p>
    <w:p w14:paraId="6DE94E68" w14:textId="77777777" w:rsidR="008C7AE7" w:rsidRPr="00110593" w:rsidRDefault="008C7AE7" w:rsidP="001A44CD">
      <w:pPr>
        <w:rPr>
          <w:rFonts w:ascii="Times New Roman" w:hAnsi="Times New Roman" w:cs="Times New Roman"/>
          <w:color w:val="000000" w:themeColor="text1"/>
          <w:sz w:val="24"/>
        </w:rPr>
      </w:pPr>
      <w:r w:rsidRPr="003B27EA">
        <w:rPr>
          <w:rFonts w:ascii="Times New Roman" w:hAnsi="Times New Roman" w:cs="Times New Roman"/>
          <w:color w:val="000000" w:themeColor="text1"/>
          <w:sz w:val="24"/>
        </w:rPr>
        <w:t>The Department of Labor 2018 Core Monitoring Guide reviews the provision of training services to program participants, including the use of ITAs. Local areas can expect the local ITA policy and practices to be part of regular program monitoring by state and/or federal monitors.</w:t>
      </w:r>
    </w:p>
    <w:p w14:paraId="534C8B70" w14:textId="77777777" w:rsidR="00A54FF0" w:rsidRDefault="00A54FF0">
      <w:pPr>
        <w:rPr>
          <w:rFonts w:ascii="Times New Roman" w:hAnsi="Times New Roman" w:cs="Times New Roman"/>
          <w:b/>
          <w:color w:val="000000" w:themeColor="text1"/>
          <w:sz w:val="24"/>
        </w:rPr>
      </w:pPr>
      <w:r>
        <w:rPr>
          <w:rFonts w:ascii="Times New Roman" w:hAnsi="Times New Roman" w:cs="Times New Roman"/>
          <w:b/>
          <w:color w:val="000000" w:themeColor="text1"/>
          <w:sz w:val="24"/>
        </w:rPr>
        <w:br w:type="page"/>
      </w:r>
    </w:p>
    <w:p w14:paraId="2A71CBFE" w14:textId="2576A2B4" w:rsidR="00DC0DA1" w:rsidRPr="00110593" w:rsidRDefault="00DC0DA1" w:rsidP="001A44CD">
      <w:pPr>
        <w:rPr>
          <w:rFonts w:ascii="Times New Roman" w:hAnsi="Times New Roman" w:cs="Times New Roman"/>
          <w:b/>
          <w:color w:val="000000" w:themeColor="text1"/>
          <w:sz w:val="24"/>
        </w:rPr>
      </w:pPr>
      <w:r w:rsidRPr="00110593">
        <w:rPr>
          <w:rFonts w:ascii="Times New Roman" w:hAnsi="Times New Roman" w:cs="Times New Roman"/>
          <w:b/>
          <w:color w:val="000000" w:themeColor="text1"/>
          <w:sz w:val="24"/>
        </w:rPr>
        <w:lastRenderedPageBreak/>
        <w:t>ITAs in co</w:t>
      </w:r>
      <w:r w:rsidR="00AD0381" w:rsidRPr="00110593">
        <w:rPr>
          <w:rFonts w:ascii="Times New Roman" w:hAnsi="Times New Roman" w:cs="Times New Roman"/>
          <w:b/>
          <w:color w:val="000000" w:themeColor="text1"/>
          <w:sz w:val="24"/>
        </w:rPr>
        <w:t>njunction</w:t>
      </w:r>
      <w:r w:rsidRPr="00110593">
        <w:rPr>
          <w:rFonts w:ascii="Times New Roman" w:hAnsi="Times New Roman" w:cs="Times New Roman"/>
          <w:b/>
          <w:color w:val="000000" w:themeColor="text1"/>
          <w:sz w:val="24"/>
        </w:rPr>
        <w:t xml:space="preserve"> with Registered Apprenticeship</w:t>
      </w:r>
      <w:r w:rsidR="00AD0381" w:rsidRPr="00110593">
        <w:rPr>
          <w:rFonts w:ascii="Times New Roman" w:hAnsi="Times New Roman" w:cs="Times New Roman"/>
          <w:b/>
          <w:color w:val="000000" w:themeColor="text1"/>
          <w:sz w:val="24"/>
        </w:rPr>
        <w:t>s or OJT’s</w:t>
      </w:r>
    </w:p>
    <w:p w14:paraId="6AAB8B70" w14:textId="77777777" w:rsidR="00D72502" w:rsidRPr="00110593" w:rsidRDefault="00D72502" w:rsidP="00D72502">
      <w:pPr>
        <w:rPr>
          <w:rFonts w:ascii="Times New Roman" w:hAnsi="Times New Roman" w:cs="Times New Roman"/>
          <w:color w:val="000000" w:themeColor="text1"/>
          <w:sz w:val="24"/>
        </w:rPr>
      </w:pPr>
      <w:r w:rsidRPr="00110593">
        <w:rPr>
          <w:rFonts w:ascii="Times New Roman" w:hAnsi="Times New Roman" w:cs="Times New Roman"/>
          <w:color w:val="000000" w:themeColor="text1"/>
          <w:sz w:val="24"/>
        </w:rPr>
        <w:t>The final rule h</w:t>
      </w:r>
      <w:r w:rsidR="00DC0DA1" w:rsidRPr="00110593">
        <w:rPr>
          <w:rFonts w:ascii="Times New Roman" w:hAnsi="Times New Roman" w:cs="Times New Roman"/>
          <w:color w:val="000000" w:themeColor="text1"/>
          <w:sz w:val="24"/>
        </w:rPr>
        <w:t>ighligh</w:t>
      </w:r>
      <w:r w:rsidRPr="00110593">
        <w:rPr>
          <w:rFonts w:ascii="Times New Roman" w:hAnsi="Times New Roman" w:cs="Times New Roman"/>
          <w:color w:val="000000" w:themeColor="text1"/>
          <w:sz w:val="24"/>
        </w:rPr>
        <w:t>ts</w:t>
      </w:r>
      <w:r w:rsidR="00DC0DA1" w:rsidRPr="00110593">
        <w:rPr>
          <w:rFonts w:ascii="Times New Roman" w:hAnsi="Times New Roman" w:cs="Times New Roman"/>
          <w:color w:val="000000" w:themeColor="text1"/>
          <w:sz w:val="24"/>
        </w:rPr>
        <w:t xml:space="preserve"> </w:t>
      </w:r>
      <w:r w:rsidRPr="00110593">
        <w:rPr>
          <w:rFonts w:ascii="Times New Roman" w:hAnsi="Times New Roman" w:cs="Times New Roman"/>
          <w:color w:val="000000" w:themeColor="text1"/>
          <w:sz w:val="24"/>
        </w:rPr>
        <w:t>registered apprenticeship</w:t>
      </w:r>
      <w:r w:rsidR="00DC0DA1" w:rsidRPr="00110593">
        <w:rPr>
          <w:rFonts w:ascii="Times New Roman" w:hAnsi="Times New Roman" w:cs="Times New Roman"/>
          <w:color w:val="000000" w:themeColor="text1"/>
          <w:sz w:val="24"/>
        </w:rPr>
        <w:t xml:space="preserve"> programs as a training service for both </w:t>
      </w:r>
      <w:r w:rsidR="0092677E" w:rsidRPr="00110593">
        <w:rPr>
          <w:rFonts w:ascii="Times New Roman" w:hAnsi="Times New Roman" w:cs="Times New Roman"/>
          <w:color w:val="000000" w:themeColor="text1"/>
          <w:sz w:val="24"/>
        </w:rPr>
        <w:t>ITAs</w:t>
      </w:r>
      <w:r w:rsidR="00DC0DA1" w:rsidRPr="00110593">
        <w:rPr>
          <w:rFonts w:ascii="Times New Roman" w:hAnsi="Times New Roman" w:cs="Times New Roman"/>
          <w:color w:val="000000" w:themeColor="text1"/>
          <w:sz w:val="24"/>
        </w:rPr>
        <w:t xml:space="preserve"> and as OJT. </w:t>
      </w:r>
      <w:r w:rsidRPr="00110593">
        <w:rPr>
          <w:rFonts w:ascii="Times New Roman" w:hAnsi="Times New Roman" w:cs="Times New Roman"/>
          <w:color w:val="000000" w:themeColor="text1"/>
          <w:sz w:val="24"/>
        </w:rPr>
        <w:t>Registered apprenticeship programs are automatically eligible for the ETPL. A</w:t>
      </w:r>
      <w:r w:rsidR="00DC0DA1" w:rsidRPr="00110593">
        <w:rPr>
          <w:rFonts w:ascii="Times New Roman" w:hAnsi="Times New Roman" w:cs="Times New Roman"/>
          <w:color w:val="000000" w:themeColor="text1"/>
          <w:sz w:val="24"/>
        </w:rPr>
        <w:t xml:space="preserve">pprenticeship programs that are not registered </w:t>
      </w:r>
      <w:r w:rsidRPr="00110593">
        <w:rPr>
          <w:rFonts w:ascii="Times New Roman" w:hAnsi="Times New Roman" w:cs="Times New Roman"/>
          <w:color w:val="000000" w:themeColor="text1"/>
          <w:sz w:val="24"/>
        </w:rPr>
        <w:t xml:space="preserve">are allowed </w:t>
      </w:r>
      <w:r w:rsidR="00DC0DA1" w:rsidRPr="00110593">
        <w:rPr>
          <w:rFonts w:ascii="Times New Roman" w:hAnsi="Times New Roman" w:cs="Times New Roman"/>
          <w:color w:val="000000" w:themeColor="text1"/>
          <w:sz w:val="24"/>
        </w:rPr>
        <w:t>to go through the eligible training provider (ETP) process if they want to be on the ETP list</w:t>
      </w:r>
      <w:r w:rsidR="002F6B5B" w:rsidRPr="00110593">
        <w:rPr>
          <w:rFonts w:ascii="Times New Roman" w:hAnsi="Times New Roman" w:cs="Times New Roman"/>
          <w:color w:val="000000" w:themeColor="text1"/>
          <w:sz w:val="24"/>
        </w:rPr>
        <w:t>.</w:t>
      </w:r>
      <w:r w:rsidRPr="00110593">
        <w:rPr>
          <w:rFonts w:ascii="Times New Roman" w:hAnsi="Times New Roman" w:cs="Times New Roman"/>
          <w:color w:val="000000" w:themeColor="text1"/>
          <w:sz w:val="24"/>
        </w:rPr>
        <w:t xml:space="preserve"> </w:t>
      </w:r>
    </w:p>
    <w:p w14:paraId="5211426B" w14:textId="77777777" w:rsidR="001F14FB" w:rsidRPr="00110593" w:rsidRDefault="001F14FB" w:rsidP="001F14FB">
      <w:pPr>
        <w:rPr>
          <w:rFonts w:ascii="Times New Roman" w:hAnsi="Times New Roman" w:cs="Times New Roman"/>
          <w:color w:val="000000" w:themeColor="text1"/>
          <w:sz w:val="24"/>
        </w:rPr>
      </w:pPr>
      <w:r w:rsidRPr="00110593">
        <w:rPr>
          <w:rFonts w:ascii="Times New Roman" w:hAnsi="Times New Roman" w:cs="Times New Roman"/>
          <w:color w:val="000000" w:themeColor="text1"/>
          <w:sz w:val="24"/>
        </w:rPr>
        <w:t>ITAs can be used to support placing participants in registered apprenticeship through:</w:t>
      </w:r>
    </w:p>
    <w:p w14:paraId="7B2DF0F0" w14:textId="77777777" w:rsidR="001F14FB" w:rsidRPr="00110593" w:rsidRDefault="001F14FB" w:rsidP="00750F53">
      <w:pPr>
        <w:ind w:left="360"/>
        <w:rPr>
          <w:rFonts w:ascii="Times New Roman" w:hAnsi="Times New Roman" w:cs="Times New Roman"/>
          <w:color w:val="000000" w:themeColor="text1"/>
          <w:sz w:val="24"/>
        </w:rPr>
      </w:pPr>
      <w:r w:rsidRPr="00110593">
        <w:rPr>
          <w:rFonts w:ascii="Times New Roman" w:hAnsi="Times New Roman" w:cs="Times New Roman"/>
          <w:color w:val="000000" w:themeColor="text1"/>
          <w:sz w:val="24"/>
        </w:rPr>
        <w:t>(1) Pre-apprenticeship training</w:t>
      </w:r>
    </w:p>
    <w:p w14:paraId="2C8120DF" w14:textId="77777777" w:rsidR="001F14FB" w:rsidRPr="00110593" w:rsidRDefault="001F14FB" w:rsidP="00750F53">
      <w:pPr>
        <w:ind w:firstLine="360"/>
        <w:rPr>
          <w:rFonts w:ascii="Times New Roman" w:hAnsi="Times New Roman" w:cs="Times New Roman"/>
          <w:color w:val="000000" w:themeColor="text1"/>
          <w:sz w:val="24"/>
        </w:rPr>
      </w:pPr>
      <w:r w:rsidRPr="00110593">
        <w:rPr>
          <w:rFonts w:ascii="Times New Roman" w:hAnsi="Times New Roman" w:cs="Times New Roman"/>
          <w:color w:val="000000" w:themeColor="text1"/>
          <w:sz w:val="24"/>
        </w:rPr>
        <w:t>(2) Training services provided under a re</w:t>
      </w:r>
      <w:r w:rsidR="006B6E85" w:rsidRPr="00110593">
        <w:rPr>
          <w:rFonts w:ascii="Times New Roman" w:hAnsi="Times New Roman" w:cs="Times New Roman"/>
          <w:color w:val="000000" w:themeColor="text1"/>
          <w:sz w:val="24"/>
        </w:rPr>
        <w:t>gistered apprenticeship program up to limit of ITA.</w:t>
      </w:r>
    </w:p>
    <w:p w14:paraId="70D6E440" w14:textId="77777777" w:rsidR="001A44CD" w:rsidRPr="007102DE" w:rsidRDefault="001A44CD" w:rsidP="001A44CD">
      <w:pPr>
        <w:rPr>
          <w:rFonts w:ascii="Times New Roman" w:hAnsi="Times New Roman" w:cs="Times New Roman"/>
          <w:sz w:val="24"/>
        </w:rPr>
      </w:pPr>
      <w:r w:rsidRPr="007102DE">
        <w:rPr>
          <w:rFonts w:ascii="Times New Roman" w:hAnsi="Times New Roman" w:cs="Times New Roman"/>
          <w:bCs/>
          <w:sz w:val="24"/>
        </w:rPr>
        <w:t>DEED monitors will review use of ITAs, including documentation in the ISS and tracking of funds used for ITAs during routine desk reviews and on-site monitoring.</w:t>
      </w:r>
    </w:p>
    <w:p w14:paraId="32110D42" w14:textId="76907F5A" w:rsidR="003D6137" w:rsidRPr="007102DE" w:rsidRDefault="003D6137" w:rsidP="003D6137">
      <w:pPr>
        <w:rPr>
          <w:rFonts w:ascii="Times New Roman" w:hAnsi="Times New Roman" w:cs="Times New Roman"/>
          <w:sz w:val="24"/>
          <w:lang w:val="en"/>
        </w:rPr>
      </w:pPr>
      <w:r w:rsidRPr="003D6137">
        <w:rPr>
          <w:rFonts w:ascii="Times New Roman" w:hAnsi="Times New Roman" w:cs="Times New Roman"/>
          <w:sz w:val="24"/>
          <w:highlight w:val="yellow"/>
          <w:lang w:val="en"/>
        </w:rPr>
        <w:t xml:space="preserve">For more information on the WIOA Certification Process and Minnesota’s Eligible Training Provider List (ETPL) visit: </w:t>
      </w:r>
      <w:hyperlink r:id="rId33" w:history="1">
        <w:r w:rsidRPr="003D6137">
          <w:rPr>
            <w:rStyle w:val="Hyperlink"/>
            <w:rFonts w:ascii="Times New Roman" w:hAnsi="Times New Roman" w:cs="Times New Roman"/>
            <w:sz w:val="24"/>
            <w:highlight w:val="yellow"/>
            <w:lang w:val="en"/>
          </w:rPr>
          <w:t>https://mn.gov/deed/programs-services/dislocated-worker/wioa-adult/resources/</w:t>
        </w:r>
      </w:hyperlink>
      <w:r>
        <w:rPr>
          <w:rFonts w:ascii="Times New Roman" w:hAnsi="Times New Roman" w:cs="Times New Roman"/>
          <w:sz w:val="24"/>
          <w:lang w:val="en"/>
        </w:rPr>
        <w:t xml:space="preserve"> </w:t>
      </w:r>
    </w:p>
    <w:p w14:paraId="7EFF51E6" w14:textId="77777777" w:rsidR="00752330" w:rsidRDefault="001A44CD" w:rsidP="001A44CD">
      <w:pPr>
        <w:rPr>
          <w:rStyle w:val="Hyperlink"/>
          <w:rFonts w:ascii="Times New Roman" w:hAnsi="Times New Roman" w:cs="Times New Roman"/>
          <w:sz w:val="24"/>
          <w:lang w:val="en"/>
        </w:rPr>
      </w:pPr>
      <w:r w:rsidRPr="007102DE">
        <w:rPr>
          <w:rFonts w:ascii="Times New Roman" w:hAnsi="Times New Roman" w:cs="Times New Roman"/>
          <w:sz w:val="24"/>
          <w:lang w:val="en"/>
        </w:rPr>
        <w:br/>
      </w:r>
      <w:hyperlink r:id="rId34" w:tgtFrame="_blank" w:tooltip="http://mn.gov/deed/programs-services/office-youth-development/index.jsp" w:history="1">
        <w:r w:rsidRPr="007102DE">
          <w:rPr>
            <w:rStyle w:val="Hyperlink"/>
            <w:rFonts w:ascii="Times New Roman" w:hAnsi="Times New Roman" w:cs="Times New Roman"/>
            <w:sz w:val="24"/>
            <w:lang w:val="en"/>
          </w:rPr>
          <w:t>DEED Youth Website</w:t>
        </w:r>
      </w:hyperlink>
    </w:p>
    <w:p w14:paraId="2A7B420E" w14:textId="0FCC1300" w:rsidR="00CD19F7" w:rsidRDefault="00CD19F7">
      <w:pPr>
        <w:rPr>
          <w:rFonts w:ascii="Times New Roman" w:hAnsi="Times New Roman" w:cs="Times New Roman"/>
          <w:sz w:val="24"/>
        </w:rPr>
      </w:pPr>
      <w:r>
        <w:rPr>
          <w:rFonts w:ascii="Times New Roman" w:hAnsi="Times New Roman" w:cs="Times New Roman"/>
          <w:sz w:val="24"/>
        </w:rPr>
        <w:br w:type="page"/>
      </w:r>
    </w:p>
    <w:p w14:paraId="5EBBD5D9" w14:textId="22A2E319" w:rsidR="00C14C96" w:rsidRDefault="00C14C96">
      <w:pPr>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658240" behindDoc="1" locked="0" layoutInCell="1" allowOverlap="1" wp14:anchorId="041F2754" wp14:editId="7C54E419">
            <wp:simplePos x="0" y="0"/>
            <wp:positionH relativeFrom="margin">
              <wp:align>left</wp:align>
            </wp:positionH>
            <wp:positionV relativeFrom="page">
              <wp:align>center</wp:align>
            </wp:positionV>
            <wp:extent cx="7260590" cy="9394190"/>
            <wp:effectExtent l="0" t="0" r="0" b="0"/>
            <wp:wrapTight wrapText="bothSides">
              <wp:wrapPolygon edited="0">
                <wp:start x="0" y="0"/>
                <wp:lineTo x="0" y="21550"/>
                <wp:lineTo x="21536" y="21550"/>
                <wp:lineTo x="21536" y="0"/>
                <wp:lineTo x="0" y="0"/>
              </wp:wrapPolygon>
            </wp:wrapTight>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260590" cy="9394190"/>
                    </a:xfrm>
                    <a:prstGeom prst="rect">
                      <a:avLst/>
                    </a:prstGeom>
                  </pic:spPr>
                </pic:pic>
              </a:graphicData>
            </a:graphic>
          </wp:anchor>
        </w:drawing>
      </w:r>
      <w:r>
        <w:rPr>
          <w:rFonts w:ascii="Times New Roman" w:hAnsi="Times New Roman" w:cs="Times New Roman"/>
          <w:sz w:val="24"/>
        </w:rPr>
        <w:br w:type="page"/>
      </w:r>
    </w:p>
    <w:p w14:paraId="230195C2" w14:textId="4232B6A1" w:rsidR="001A44CD" w:rsidRPr="007102DE" w:rsidRDefault="00C14C96" w:rsidP="00C14C96">
      <w:pPr>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659264" behindDoc="1" locked="0" layoutInCell="1" allowOverlap="1" wp14:anchorId="2E950D2A" wp14:editId="493B2059">
            <wp:simplePos x="0" y="0"/>
            <wp:positionH relativeFrom="margin">
              <wp:align>left</wp:align>
            </wp:positionH>
            <wp:positionV relativeFrom="page">
              <wp:align>center</wp:align>
            </wp:positionV>
            <wp:extent cx="7296150" cy="9439910"/>
            <wp:effectExtent l="0" t="0" r="0" b="8890"/>
            <wp:wrapTight wrapText="bothSides">
              <wp:wrapPolygon edited="0">
                <wp:start x="0" y="0"/>
                <wp:lineTo x="0" y="21577"/>
                <wp:lineTo x="21544" y="21577"/>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296150" cy="9439910"/>
                    </a:xfrm>
                    <a:prstGeom prst="rect">
                      <a:avLst/>
                    </a:prstGeom>
                  </pic:spPr>
                </pic:pic>
              </a:graphicData>
            </a:graphic>
            <wp14:sizeRelH relativeFrom="margin">
              <wp14:pctWidth>0</wp14:pctWidth>
            </wp14:sizeRelH>
            <wp14:sizeRelV relativeFrom="margin">
              <wp14:pctHeight>0</wp14:pctHeight>
            </wp14:sizeRelV>
          </wp:anchor>
        </w:drawing>
      </w:r>
    </w:p>
    <w:sectPr w:rsidR="001A44CD" w:rsidRPr="007102DE" w:rsidSect="00C14C96">
      <w:headerReference w:type="even" r:id="rId37"/>
      <w:headerReference w:type="default" r:id="rId38"/>
      <w:footerReference w:type="even" r:id="rId39"/>
      <w:footerReference w:type="default" r:id="rId40"/>
      <w:headerReference w:type="first" r:id="rId41"/>
      <w:footerReference w:type="first" r:id="rId42"/>
      <w:pgSz w:w="12240" w:h="15840"/>
      <w:pgMar w:top="360" w:right="144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D575" w14:textId="77777777" w:rsidR="00376427" w:rsidRDefault="00376427">
      <w:pPr>
        <w:spacing w:after="0" w:line="240" w:lineRule="auto"/>
      </w:pPr>
      <w:r>
        <w:separator/>
      </w:r>
    </w:p>
  </w:endnote>
  <w:endnote w:type="continuationSeparator" w:id="0">
    <w:p w14:paraId="0C289D80" w14:textId="77777777" w:rsidR="00376427" w:rsidRDefault="0037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A5A1" w14:textId="77777777" w:rsidR="00C53075" w:rsidRDefault="00C53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2AD0" w14:textId="77777777" w:rsidR="00C53075" w:rsidRDefault="00C53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D88F" w14:textId="77777777" w:rsidR="00C53075" w:rsidRDefault="00C5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8746" w14:textId="77777777" w:rsidR="00376427" w:rsidRDefault="00376427">
      <w:pPr>
        <w:spacing w:after="0" w:line="240" w:lineRule="auto"/>
      </w:pPr>
      <w:r>
        <w:separator/>
      </w:r>
    </w:p>
  </w:footnote>
  <w:footnote w:type="continuationSeparator" w:id="0">
    <w:p w14:paraId="68EFD462" w14:textId="77777777" w:rsidR="00376427" w:rsidRDefault="00376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1148" w14:textId="77777777" w:rsidR="00C53075" w:rsidRDefault="00C53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D76C" w14:textId="070481CF" w:rsidR="00303228" w:rsidRDefault="00303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CABE" w14:textId="77777777" w:rsidR="00C53075" w:rsidRDefault="00C53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1FF"/>
    <w:multiLevelType w:val="hybridMultilevel"/>
    <w:tmpl w:val="9DFAF0F2"/>
    <w:lvl w:ilvl="0" w:tplc="7918FF02">
      <w:start w:val="24"/>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2C59CA"/>
    <w:multiLevelType w:val="hybridMultilevel"/>
    <w:tmpl w:val="E89C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A04C8"/>
    <w:multiLevelType w:val="hybridMultilevel"/>
    <w:tmpl w:val="504A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B73B1"/>
    <w:multiLevelType w:val="hybridMultilevel"/>
    <w:tmpl w:val="5B74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24ABD"/>
    <w:multiLevelType w:val="hybridMultilevel"/>
    <w:tmpl w:val="D72A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93F43"/>
    <w:multiLevelType w:val="hybridMultilevel"/>
    <w:tmpl w:val="48E6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613175">
    <w:abstractNumId w:val="0"/>
  </w:num>
  <w:num w:numId="2" w16cid:durableId="145783067">
    <w:abstractNumId w:val="4"/>
  </w:num>
  <w:num w:numId="3" w16cid:durableId="2068870138">
    <w:abstractNumId w:val="3"/>
  </w:num>
  <w:num w:numId="4" w16cid:durableId="1169373731">
    <w:abstractNumId w:val="1"/>
  </w:num>
  <w:num w:numId="5" w16cid:durableId="1389916940">
    <w:abstractNumId w:val="5"/>
  </w:num>
  <w:num w:numId="6" w16cid:durableId="763845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4CD"/>
    <w:rsid w:val="0002246A"/>
    <w:rsid w:val="000457BA"/>
    <w:rsid w:val="00054E06"/>
    <w:rsid w:val="00082E59"/>
    <w:rsid w:val="00083D1F"/>
    <w:rsid w:val="00110593"/>
    <w:rsid w:val="00120C3B"/>
    <w:rsid w:val="001436D0"/>
    <w:rsid w:val="001A44CD"/>
    <w:rsid w:val="001D3F6D"/>
    <w:rsid w:val="001F14FB"/>
    <w:rsid w:val="00254490"/>
    <w:rsid w:val="002C0069"/>
    <w:rsid w:val="002F6B5B"/>
    <w:rsid w:val="00303228"/>
    <w:rsid w:val="00333BA4"/>
    <w:rsid w:val="00376427"/>
    <w:rsid w:val="003B27EA"/>
    <w:rsid w:val="003D6137"/>
    <w:rsid w:val="003F7568"/>
    <w:rsid w:val="004608D0"/>
    <w:rsid w:val="005231BA"/>
    <w:rsid w:val="005D5559"/>
    <w:rsid w:val="006243D5"/>
    <w:rsid w:val="006A66DC"/>
    <w:rsid w:val="006B6E85"/>
    <w:rsid w:val="006F2AC7"/>
    <w:rsid w:val="006F5E39"/>
    <w:rsid w:val="007102DE"/>
    <w:rsid w:val="007242A7"/>
    <w:rsid w:val="0073437C"/>
    <w:rsid w:val="00750F53"/>
    <w:rsid w:val="00752330"/>
    <w:rsid w:val="007624D5"/>
    <w:rsid w:val="007C0921"/>
    <w:rsid w:val="008661E7"/>
    <w:rsid w:val="008B5E26"/>
    <w:rsid w:val="008C7AE7"/>
    <w:rsid w:val="008F3F87"/>
    <w:rsid w:val="0092677E"/>
    <w:rsid w:val="009A75A0"/>
    <w:rsid w:val="00A54FF0"/>
    <w:rsid w:val="00A565E7"/>
    <w:rsid w:val="00A712BB"/>
    <w:rsid w:val="00A9182D"/>
    <w:rsid w:val="00AB5A4A"/>
    <w:rsid w:val="00AD0381"/>
    <w:rsid w:val="00B500AE"/>
    <w:rsid w:val="00B87FCA"/>
    <w:rsid w:val="00BD66BC"/>
    <w:rsid w:val="00C14C96"/>
    <w:rsid w:val="00C34C4A"/>
    <w:rsid w:val="00C53075"/>
    <w:rsid w:val="00C663AC"/>
    <w:rsid w:val="00CD19F7"/>
    <w:rsid w:val="00D72502"/>
    <w:rsid w:val="00D90891"/>
    <w:rsid w:val="00D9407D"/>
    <w:rsid w:val="00DA5367"/>
    <w:rsid w:val="00DC0DA1"/>
    <w:rsid w:val="00DF053B"/>
    <w:rsid w:val="00E1345C"/>
    <w:rsid w:val="00E158EC"/>
    <w:rsid w:val="00E169C5"/>
    <w:rsid w:val="00E47A0A"/>
    <w:rsid w:val="00E66EC8"/>
    <w:rsid w:val="00ED066D"/>
    <w:rsid w:val="00EE33C6"/>
    <w:rsid w:val="00EF5AB8"/>
    <w:rsid w:val="00F60B8C"/>
    <w:rsid w:val="00F86D52"/>
    <w:rsid w:val="00FB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1ED1E"/>
  <w15:chartTrackingRefBased/>
  <w15:docId w15:val="{5A7B6591-2AF5-4F94-AE7A-1445EEB0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4CD"/>
  </w:style>
  <w:style w:type="character" w:styleId="Hyperlink">
    <w:name w:val="Hyperlink"/>
    <w:basedOn w:val="DefaultParagraphFont"/>
    <w:uiPriority w:val="99"/>
    <w:unhideWhenUsed/>
    <w:rsid w:val="001A44CD"/>
    <w:rPr>
      <w:color w:val="0563C1" w:themeColor="hyperlink"/>
      <w:u w:val="single"/>
    </w:rPr>
  </w:style>
  <w:style w:type="paragraph" w:styleId="BalloonText">
    <w:name w:val="Balloon Text"/>
    <w:basedOn w:val="Normal"/>
    <w:link w:val="BalloonTextChar"/>
    <w:uiPriority w:val="99"/>
    <w:semiHidden/>
    <w:unhideWhenUsed/>
    <w:rsid w:val="00710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2DE"/>
    <w:rPr>
      <w:rFonts w:ascii="Segoe UI" w:hAnsi="Segoe UI" w:cs="Segoe UI"/>
      <w:sz w:val="18"/>
      <w:szCs w:val="18"/>
    </w:rPr>
  </w:style>
  <w:style w:type="paragraph" w:styleId="Header">
    <w:name w:val="header"/>
    <w:basedOn w:val="Normal"/>
    <w:link w:val="HeaderChar"/>
    <w:uiPriority w:val="99"/>
    <w:unhideWhenUsed/>
    <w:rsid w:val="0092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77E"/>
  </w:style>
  <w:style w:type="paragraph" w:styleId="NoSpacing">
    <w:name w:val="No Spacing"/>
    <w:uiPriority w:val="1"/>
    <w:qFormat/>
    <w:rsid w:val="0073437C"/>
    <w:pPr>
      <w:spacing w:after="0" w:line="240" w:lineRule="auto"/>
      <w:jc w:val="both"/>
    </w:pPr>
    <w:rPr>
      <w:rFonts w:eastAsiaTheme="minorEastAsia"/>
    </w:rPr>
  </w:style>
  <w:style w:type="paragraph" w:styleId="BodyText">
    <w:name w:val="Body Text"/>
    <w:basedOn w:val="Normal"/>
    <w:link w:val="BodyTextChar"/>
    <w:uiPriority w:val="1"/>
    <w:qFormat/>
    <w:rsid w:val="00A565E7"/>
    <w:pPr>
      <w:widowControl w:val="0"/>
      <w:spacing w:after="0" w:line="240" w:lineRule="auto"/>
      <w:ind w:left="1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565E7"/>
    <w:rPr>
      <w:rFonts w:ascii="Times New Roman" w:eastAsia="Times New Roman" w:hAnsi="Times New Roman"/>
      <w:sz w:val="24"/>
      <w:szCs w:val="24"/>
    </w:rPr>
  </w:style>
  <w:style w:type="paragraph" w:styleId="ListParagraph">
    <w:name w:val="List Paragraph"/>
    <w:basedOn w:val="Normal"/>
    <w:uiPriority w:val="34"/>
    <w:qFormat/>
    <w:rsid w:val="00A565E7"/>
    <w:pPr>
      <w:ind w:left="720"/>
      <w:contextualSpacing/>
    </w:pPr>
  </w:style>
  <w:style w:type="character" w:styleId="FollowedHyperlink">
    <w:name w:val="FollowedHyperlink"/>
    <w:basedOn w:val="DefaultParagraphFont"/>
    <w:uiPriority w:val="99"/>
    <w:semiHidden/>
    <w:unhideWhenUsed/>
    <w:rsid w:val="00C663AC"/>
    <w:rPr>
      <w:color w:val="954F72" w:themeColor="followedHyperlink"/>
      <w:u w:val="single"/>
    </w:rPr>
  </w:style>
  <w:style w:type="character" w:styleId="UnresolvedMention">
    <w:name w:val="Unresolved Mention"/>
    <w:basedOn w:val="DefaultParagraphFont"/>
    <w:uiPriority w:val="99"/>
    <w:semiHidden/>
    <w:unhideWhenUsed/>
    <w:rsid w:val="00254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dr.doleta.gov/directives/corr_doc.cfm?DOCN=4244" TargetMode="External"/><Relationship Id="rId18" Type="http://schemas.openxmlformats.org/officeDocument/2006/relationships/hyperlink" Target="https://wdr.doleta.gov/directives/corr_doc.cfm?DOCN=7611" TargetMode="External"/><Relationship Id="rId26" Type="http://schemas.openxmlformats.org/officeDocument/2006/relationships/hyperlink" Target="https://www.dol.gov/sites/dolgov/files/ETA/advisories/TEGL/2022/TEGL%2010-16%20Change%202/TEGL%2010-16%20Change%202.pdf"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gov.ecfr.io/cgi-bin/text-idx?SID=970b58af63fde7ba10fd201add7ec48c&amp;mc=true&amp;tpl=/ecfrbrowse/Title02/2cfr200_main_02.tpl" TargetMode="External"/><Relationship Id="rId34" Type="http://schemas.openxmlformats.org/officeDocument/2006/relationships/hyperlink" Target="http://mn.gov/deed/programs-services/office-youth-development/index.jsp"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po.gov/fdsys/pkg/FR-2016-08-19/pdf/2016-15977.pdf" TargetMode="External"/><Relationship Id="rId17" Type="http://schemas.openxmlformats.org/officeDocument/2006/relationships/hyperlink" Target="https://wdr.doleta.gov/directives/corr_doc.cfm?DOCN=4255" TargetMode="External"/><Relationship Id="rId25" Type="http://schemas.openxmlformats.org/officeDocument/2006/relationships/hyperlink" Target="https://doleta.gov/grants/pdf/2018_Core_Monitoring_Guide.pdf" TargetMode="External"/><Relationship Id="rId33" Type="http://schemas.openxmlformats.org/officeDocument/2006/relationships/hyperlink" Target="https://mn.gov/deed/programs-services/dislocated-worker/wioa-adult/resources/"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dr.doleta.gov/directives/corr_doc.cfm?DOCN=7159" TargetMode="External"/><Relationship Id="rId20" Type="http://schemas.openxmlformats.org/officeDocument/2006/relationships/hyperlink" Target="https://wdr.doleta.gov/directives/corr_doc.cfm?DOCN=8754" TargetMode="External"/><Relationship Id="rId29" Type="http://schemas.openxmlformats.org/officeDocument/2006/relationships/hyperlink" Target="https://www.dol.gov/agencies/eta/advisories/tegl-23-19-change-2"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po.gov/fdsys/pkg/PLAW-113publ128/html/PLAW-113publ128.htm" TargetMode="External"/><Relationship Id="rId24" Type="http://schemas.openxmlformats.org/officeDocument/2006/relationships/hyperlink" Target="https://wdr.doleta.gov/directives/corr_doc.cfm?DOCN=3439" TargetMode="External"/><Relationship Id="rId32" Type="http://schemas.openxmlformats.org/officeDocument/2006/relationships/hyperlink" Target="mailto:Cory.Schmid@state.mn.u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dr.doleta.gov/directives/corr_doc.cfm?docn=3255" TargetMode="External"/><Relationship Id="rId23" Type="http://schemas.openxmlformats.org/officeDocument/2006/relationships/hyperlink" Target="https://wdr.doleta.gov/directives/corr_doc.cfm?DOCN=6118" TargetMode="External"/><Relationship Id="rId28" Type="http://schemas.openxmlformats.org/officeDocument/2006/relationships/hyperlink" Target="https://www.dol.gov/agencies/eta/advisories/tegl-09-22"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dol.gov/agencies/eta/advisories/training-and-employment-guidance-letter-no-11-19" TargetMode="External"/><Relationship Id="rId31" Type="http://schemas.openxmlformats.org/officeDocument/2006/relationships/hyperlink" Target="mailto:Kay.Tracy@state.mn.u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dr.doleta.gov/directives/corr_doc.cfm?DOCN=6073" TargetMode="External"/><Relationship Id="rId22" Type="http://schemas.openxmlformats.org/officeDocument/2006/relationships/hyperlink" Target="https://wdr.doleta.gov/directives/corr_doc.cfm?docn=9977" TargetMode="External"/><Relationship Id="rId27" Type="http://schemas.openxmlformats.org/officeDocument/2006/relationships/hyperlink" Target="https://www.dol.gov/sites/dolgov/files/ETA/advisories/TEGL/2019/TEGL%2023-19%20Change%201/TEGL%2023-19%2C%20Change%201%20%28Complete%20document%29.pdf" TargetMode="External"/><Relationship Id="rId30" Type="http://schemas.openxmlformats.org/officeDocument/2006/relationships/hyperlink" Target="https://www.dol.gov/agencies/eta/advisories/tegl-10-23" TargetMode="External"/><Relationship Id="rId35" Type="http://schemas.openxmlformats.org/officeDocument/2006/relationships/image" Target="media/image1.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4D9526CAB864C9DC248A6AA2C129E" ma:contentTypeVersion="12" ma:contentTypeDescription="Create a new document." ma:contentTypeScope="" ma:versionID="f898ad89bf71ced6359d71250effdaca">
  <xsd:schema xmlns:xsd="http://www.w3.org/2001/XMLSchema" xmlns:xs="http://www.w3.org/2001/XMLSchema" xmlns:p="http://schemas.microsoft.com/office/2006/metadata/properties" xmlns:ns3="ec5ffc2c-0589-4753-b34a-4c035d4e7b7e" targetNamespace="http://schemas.microsoft.com/office/2006/metadata/properties" ma:root="true" ma:fieldsID="5bc6ae547dafb556761e6af153889da5" ns3:_="">
    <xsd:import namespace="ec5ffc2c-0589-4753-b34a-4c035d4e7b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fc2c-0589-4753-b34a-4c035d4e7b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8C119-972B-436A-AF99-06E12730B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fc2c-0589-4753-b34a-4c035d4e7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D7F9D-E107-4E05-A953-56C0CF9EB3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85263-D213-48B2-B2DC-33525347F1C5}">
  <ds:schemaRefs>
    <ds:schemaRef ds:uri="http://schemas.microsoft.com/sharepoint/v3/contenttype/forms"/>
  </ds:schemaRefs>
</ds:datastoreItem>
</file>

<file path=customXml/itemProps4.xml><?xml version="1.0" encoding="utf-8"?>
<ds:datastoreItem xmlns:ds="http://schemas.openxmlformats.org/officeDocument/2006/customXml" ds:itemID="{F1F4CA79-B23F-40F5-8EDC-658D3F226003}">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1547</Words>
  <Characters>8820</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Nelson</dc:creator>
  <cp:keywords/>
  <dc:description/>
  <cp:lastModifiedBy>Douma, Lynn (DEED)</cp:lastModifiedBy>
  <cp:revision>3</cp:revision>
  <cp:lastPrinted>2017-03-14T17:57:00Z</cp:lastPrinted>
  <dcterms:created xsi:type="dcterms:W3CDTF">2024-03-27T15:08:00Z</dcterms:created>
  <dcterms:modified xsi:type="dcterms:W3CDTF">2024-04-09T14:45:00Z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0x0101005284D9526CAB864C9DC248A6AA2C129E</vt:lpwstr>
  </property>
</Properties>
</file>