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C2F" w14:textId="77777777" w:rsidR="001F5526" w:rsidRPr="005407CF" w:rsidRDefault="001F5526" w:rsidP="001F55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5407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WIOA Young Adult Program</w:t>
      </w:r>
    </w:p>
    <w:p w14:paraId="60EA68BF" w14:textId="77777777" w:rsidR="001F5526" w:rsidRPr="005407CF" w:rsidRDefault="00574FFA" w:rsidP="006274B9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Chapter </w:t>
      </w:r>
      <w:r w:rsidR="005523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"/>
        </w:rPr>
        <w:t>16</w:t>
      </w:r>
      <w:r w:rsidR="001F5526" w:rsidRPr="005407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: </w:t>
      </w:r>
      <w:r w:rsidR="004E3415">
        <w:rPr>
          <w:rFonts w:ascii="Times New Roman" w:hAnsi="Times New Roman" w:cs="Times New Roman"/>
          <w:b/>
          <w:sz w:val="28"/>
        </w:rPr>
        <w:t>Procurement of Youth Services U</w:t>
      </w:r>
      <w:r w:rsidR="00883B8D">
        <w:rPr>
          <w:rFonts w:ascii="Times New Roman" w:hAnsi="Times New Roman" w:cs="Times New Roman"/>
          <w:b/>
          <w:sz w:val="28"/>
        </w:rPr>
        <w:t>nder WIOA</w:t>
      </w:r>
    </w:p>
    <w:p w14:paraId="1BC140C7" w14:textId="77777777" w:rsidR="00165ECE" w:rsidRPr="005407CF" w:rsidRDefault="00165ECE" w:rsidP="00165ECE">
      <w:pPr>
        <w:tabs>
          <w:tab w:val="left" w:pos="2539"/>
        </w:tabs>
        <w:spacing w:before="55" w:line="252" w:lineRule="exact"/>
        <w:ind w:left="200"/>
        <w:rPr>
          <w:rFonts w:ascii="Times New Roman" w:eastAsia="Arial" w:hAnsi="Times New Roman" w:cs="Times New Roman"/>
        </w:rPr>
      </w:pPr>
    </w:p>
    <w:p w14:paraId="5FDEE084" w14:textId="77777777" w:rsidR="001F5526" w:rsidRPr="00C54601" w:rsidRDefault="001F5526" w:rsidP="006274B9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C54601">
        <w:rPr>
          <w:rFonts w:ascii="Times New Roman" w:eastAsia="Arial" w:hAnsi="Times New Roman" w:cs="Times New Roman"/>
          <w:sz w:val="24"/>
          <w:szCs w:val="24"/>
        </w:rPr>
        <w:t>Summary</w:t>
      </w:r>
    </w:p>
    <w:p w14:paraId="04581A13" w14:textId="59038772" w:rsidR="004E3415" w:rsidRPr="004E3415" w:rsidRDefault="004E3415" w:rsidP="004E3415">
      <w:pPr>
        <w:tabs>
          <w:tab w:val="left" w:pos="2539"/>
        </w:tabs>
        <w:spacing w:before="55" w:after="24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4E3415">
        <w:rPr>
          <w:rFonts w:ascii="Times New Roman" w:eastAsia="Arial" w:hAnsi="Times New Roman" w:cs="Times New Roman"/>
          <w:sz w:val="24"/>
          <w:szCs w:val="24"/>
        </w:rPr>
        <w:t>The Workforce Innovation and Opportunity Act of 2014 (WIOA) and the Uniform Guidance establish administrative requirements, procurement standards, and methods of procurement for</w:t>
      </w:r>
      <w:r>
        <w:rPr>
          <w:rFonts w:ascii="Times New Roman" w:eastAsia="Arial" w:hAnsi="Times New Roman" w:cs="Times New Roman"/>
          <w:sz w:val="24"/>
          <w:szCs w:val="24"/>
        </w:rPr>
        <w:t xml:space="preserve"> WIOA Title I youth programs. </w:t>
      </w:r>
      <w:r w:rsidRPr="004E3415">
        <w:rPr>
          <w:rFonts w:ascii="Times New Roman" w:eastAsia="Arial" w:hAnsi="Times New Roman" w:cs="Times New Roman"/>
          <w:sz w:val="24"/>
          <w:szCs w:val="24"/>
        </w:rPr>
        <w:t xml:space="preserve">Section 123 of WIOA requires each Local Workforce Development Board (LWDB) to award grants or contracts on a competitive basis to providers of youth workforce investment activities. </w:t>
      </w:r>
      <w:r w:rsidR="007612FA" w:rsidRPr="007612FA">
        <w:rPr>
          <w:rFonts w:ascii="Times New Roman" w:eastAsia="Arial" w:hAnsi="Times New Roman" w:cs="Times New Roman"/>
          <w:sz w:val="24"/>
          <w:szCs w:val="24"/>
          <w:highlight w:val="yellow"/>
        </w:rPr>
        <w:t>However, a LWDB may also choose to adopt a board resolution identifying the WDA staff as the provider of services.</w:t>
      </w:r>
      <w:r w:rsidRPr="007612FA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</w:t>
      </w:r>
      <w:r w:rsidR="007612FA" w:rsidRPr="007612FA">
        <w:rPr>
          <w:rFonts w:ascii="Times New Roman" w:eastAsia="Arial" w:hAnsi="Times New Roman" w:cs="Times New Roman"/>
          <w:sz w:val="24"/>
          <w:szCs w:val="24"/>
          <w:highlight w:val="yellow"/>
        </w:rPr>
        <w:t>If service providers are selected through a competitive process,</w:t>
      </w:r>
      <w:r w:rsidR="007612FA">
        <w:rPr>
          <w:rFonts w:ascii="Times New Roman" w:eastAsia="Arial" w:hAnsi="Times New Roman" w:cs="Times New Roman"/>
          <w:sz w:val="24"/>
          <w:szCs w:val="24"/>
        </w:rPr>
        <w:t xml:space="preserve"> t</w:t>
      </w:r>
      <w:r w:rsidRPr="004E3415">
        <w:rPr>
          <w:rFonts w:ascii="Times New Roman" w:eastAsia="Arial" w:hAnsi="Times New Roman" w:cs="Times New Roman"/>
          <w:sz w:val="24"/>
          <w:szCs w:val="24"/>
        </w:rPr>
        <w:t>his policy requires WDAs/LWDB’s to establish local procurement policies and procedures for procurement of property and services required to carry out WIOA Title I youth programs.  The policies and procedures must adhere to th</w:t>
      </w:r>
      <w:r>
        <w:rPr>
          <w:rFonts w:ascii="Times New Roman" w:eastAsia="Arial" w:hAnsi="Times New Roman" w:cs="Times New Roman"/>
          <w:sz w:val="24"/>
          <w:szCs w:val="24"/>
        </w:rPr>
        <w:t xml:space="preserve">e stricter, as appropriate, of </w:t>
      </w:r>
      <w:r w:rsidRPr="004E3415">
        <w:rPr>
          <w:rFonts w:ascii="Times New Roman" w:eastAsia="Arial" w:hAnsi="Times New Roman" w:cs="Times New Roman"/>
          <w:sz w:val="24"/>
          <w:szCs w:val="24"/>
        </w:rPr>
        <w:t>state and local procurement laws and the relevant laws, rul</w:t>
      </w:r>
      <w:r>
        <w:rPr>
          <w:rFonts w:ascii="Times New Roman" w:eastAsia="Arial" w:hAnsi="Times New Roman" w:cs="Times New Roman"/>
          <w:sz w:val="24"/>
          <w:szCs w:val="24"/>
        </w:rPr>
        <w:t xml:space="preserve">es and policies listed below. </w:t>
      </w:r>
      <w:r w:rsidRPr="004E3415">
        <w:rPr>
          <w:rFonts w:ascii="Times New Roman" w:eastAsia="Arial" w:hAnsi="Times New Roman" w:cs="Times New Roman"/>
          <w:sz w:val="24"/>
          <w:szCs w:val="24"/>
        </w:rPr>
        <w:t xml:space="preserve">The CEO, LWDB, administrative representatives and fiscal agent(s) will be referred to as </w:t>
      </w:r>
      <w:r>
        <w:rPr>
          <w:rFonts w:ascii="Times New Roman" w:eastAsia="Arial" w:hAnsi="Times New Roman" w:cs="Times New Roman"/>
          <w:sz w:val="24"/>
          <w:szCs w:val="24"/>
        </w:rPr>
        <w:t>“Administrative E</w:t>
      </w:r>
      <w:r w:rsidRPr="004E3415">
        <w:rPr>
          <w:rFonts w:ascii="Times New Roman" w:eastAsia="Arial" w:hAnsi="Times New Roman" w:cs="Times New Roman"/>
          <w:sz w:val="24"/>
          <w:szCs w:val="24"/>
        </w:rPr>
        <w:t>ntity</w:t>
      </w:r>
      <w:r>
        <w:rPr>
          <w:rFonts w:ascii="Times New Roman" w:eastAsia="Arial" w:hAnsi="Times New Roman" w:cs="Times New Roman"/>
          <w:sz w:val="24"/>
          <w:szCs w:val="24"/>
        </w:rPr>
        <w:t>”</w:t>
      </w:r>
      <w:r w:rsidRPr="004E3415">
        <w:rPr>
          <w:rFonts w:ascii="Times New Roman" w:eastAsia="Arial" w:hAnsi="Times New Roman" w:cs="Times New Roman"/>
          <w:sz w:val="24"/>
          <w:szCs w:val="24"/>
        </w:rPr>
        <w:t xml:space="preserve"> throughout this policy to improve readability and are individually identified when necessary.</w:t>
      </w:r>
    </w:p>
    <w:p w14:paraId="42ECF084" w14:textId="54E5985C" w:rsidR="004E3415" w:rsidRPr="004E3415" w:rsidRDefault="004E3415" w:rsidP="004E3415">
      <w:pPr>
        <w:tabs>
          <w:tab w:val="left" w:pos="2539"/>
        </w:tabs>
        <w:spacing w:before="55" w:after="24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4E3415">
        <w:rPr>
          <w:rFonts w:ascii="Times New Roman" w:eastAsia="Arial" w:hAnsi="Times New Roman" w:cs="Times New Roman"/>
          <w:sz w:val="24"/>
          <w:szCs w:val="24"/>
        </w:rPr>
        <w:t xml:space="preserve">Youth service providers must be selected based on their ability to provide youth program activities as well as the ability to meet performance accountability measures.  The LWDB shall </w:t>
      </w:r>
      <w:r w:rsidR="0000145D"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be responsible for </w:t>
      </w:r>
      <w:r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>conduct</w:t>
      </w:r>
      <w:r w:rsidR="0000145D"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>ing</w:t>
      </w:r>
      <w:r w:rsidRPr="004E3415">
        <w:rPr>
          <w:rFonts w:ascii="Times New Roman" w:eastAsia="Arial" w:hAnsi="Times New Roman" w:cs="Times New Roman"/>
          <w:sz w:val="24"/>
          <w:szCs w:val="24"/>
        </w:rPr>
        <w:t xml:space="preserve"> oversight of </w:t>
      </w:r>
      <w:r w:rsidR="0000145D">
        <w:rPr>
          <w:rFonts w:ascii="Times New Roman" w:eastAsia="Arial" w:hAnsi="Times New Roman" w:cs="Times New Roman"/>
          <w:sz w:val="24"/>
          <w:szCs w:val="24"/>
        </w:rPr>
        <w:t>all</w:t>
      </w:r>
      <w:r w:rsidRPr="004E3415">
        <w:rPr>
          <w:rFonts w:ascii="Times New Roman" w:eastAsia="Arial" w:hAnsi="Times New Roman" w:cs="Times New Roman"/>
          <w:sz w:val="24"/>
          <w:szCs w:val="24"/>
        </w:rPr>
        <w:t xml:space="preserve"> selected youth service providers</w:t>
      </w:r>
      <w:r w:rsidR="0000145D"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>, as well as any subgrantees the service provider(s) may use</w:t>
      </w:r>
      <w:r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>.</w:t>
      </w:r>
      <w:r w:rsidRPr="004E3415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16D3D8D7" w14:textId="4DBC123D" w:rsidR="004E3415" w:rsidRPr="004E3415" w:rsidRDefault="004E3415" w:rsidP="004E3415">
      <w:pPr>
        <w:tabs>
          <w:tab w:val="left" w:pos="2539"/>
        </w:tabs>
        <w:spacing w:before="55" w:after="24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4E3415">
        <w:rPr>
          <w:rFonts w:ascii="Times New Roman" w:eastAsia="Arial" w:hAnsi="Times New Roman" w:cs="Times New Roman"/>
          <w:sz w:val="24"/>
          <w:szCs w:val="24"/>
        </w:rPr>
        <w:t xml:space="preserve">Local WIOA Title I youth programs are not required to use WIOA program funds for the procurement of the 14 required program services and </w:t>
      </w:r>
      <w:r w:rsidR="007612FA">
        <w:rPr>
          <w:rFonts w:ascii="Times New Roman" w:eastAsia="Arial" w:hAnsi="Times New Roman" w:cs="Times New Roman"/>
          <w:sz w:val="24"/>
          <w:szCs w:val="24"/>
          <w:highlight w:val="yellow"/>
        </w:rPr>
        <w:t>are</w:t>
      </w:r>
      <w:r w:rsidR="0000145D"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encouraged to</w:t>
      </w:r>
      <w:r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leverage</w:t>
      </w:r>
      <w:r w:rsidRPr="004E3415">
        <w:rPr>
          <w:rFonts w:ascii="Times New Roman" w:eastAsia="Arial" w:hAnsi="Times New Roman" w:cs="Times New Roman"/>
          <w:sz w:val="24"/>
          <w:szCs w:val="24"/>
        </w:rPr>
        <w:t xml:space="preserve"> partner resources to provide some or all services.  If a program service is not funded with WIOA program funds, the LWDB or applicable</w:t>
      </w:r>
      <w:r>
        <w:rPr>
          <w:rFonts w:ascii="Times New Roman" w:eastAsia="Arial" w:hAnsi="Times New Roman" w:cs="Times New Roman"/>
          <w:sz w:val="24"/>
          <w:szCs w:val="24"/>
        </w:rPr>
        <w:t xml:space="preserve"> Title I service provider must:</w:t>
      </w:r>
    </w:p>
    <w:p w14:paraId="58325E43" w14:textId="797079BC" w:rsidR="004E3415" w:rsidRPr="005523D4" w:rsidRDefault="0082787C" w:rsidP="005523D4">
      <w:pPr>
        <w:tabs>
          <w:tab w:val="left" w:pos="720"/>
        </w:tabs>
        <w:spacing w:before="55" w:after="24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3415" w:rsidRPr="005523D4">
        <w:rPr>
          <w:rFonts w:ascii="Times New Roman" w:eastAsia="Arial" w:hAnsi="Times New Roman" w:cs="Times New Roman"/>
          <w:sz w:val="24"/>
          <w:szCs w:val="24"/>
        </w:rPr>
        <w:t xml:space="preserve">have a written agreement </w:t>
      </w:r>
      <w:r w:rsidR="0000145D"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>(Memorandum of Understanding, or MOU)</w:t>
      </w:r>
      <w:r w:rsidR="0000145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E3415" w:rsidRPr="005523D4">
        <w:rPr>
          <w:rFonts w:ascii="Times New Roman" w:eastAsia="Arial" w:hAnsi="Times New Roman" w:cs="Times New Roman"/>
          <w:sz w:val="24"/>
          <w:szCs w:val="24"/>
        </w:rPr>
        <w:t xml:space="preserve">with </w:t>
      </w:r>
      <w:r w:rsidR="0000145D" w:rsidRPr="0000145D">
        <w:rPr>
          <w:rFonts w:ascii="Times New Roman" w:eastAsia="Arial" w:hAnsi="Times New Roman" w:cs="Times New Roman"/>
          <w:sz w:val="24"/>
          <w:szCs w:val="24"/>
          <w:highlight w:val="yellow"/>
        </w:rPr>
        <w:t>each</w:t>
      </w:r>
      <w:r w:rsidR="004E3415" w:rsidRPr="005523D4">
        <w:rPr>
          <w:rFonts w:ascii="Times New Roman" w:eastAsia="Arial" w:hAnsi="Times New Roman" w:cs="Times New Roman"/>
          <w:sz w:val="24"/>
          <w:szCs w:val="24"/>
        </w:rPr>
        <w:t xml:space="preserve"> partner provider</w:t>
      </w:r>
      <w:r w:rsidR="005523D4">
        <w:rPr>
          <w:rFonts w:ascii="Times New Roman" w:eastAsia="Arial" w:hAnsi="Times New Roman" w:cs="Times New Roman"/>
          <w:sz w:val="24"/>
          <w:szCs w:val="24"/>
        </w:rPr>
        <w:t xml:space="preserve"> to ensure that the negotiated </w:t>
      </w:r>
      <w:r w:rsidR="004E3415" w:rsidRPr="005523D4">
        <w:rPr>
          <w:rFonts w:ascii="Times New Roman" w:eastAsia="Arial" w:hAnsi="Times New Roman" w:cs="Times New Roman"/>
          <w:sz w:val="24"/>
          <w:szCs w:val="24"/>
        </w:rPr>
        <w:t>service will be offered; and</w:t>
      </w:r>
    </w:p>
    <w:p w14:paraId="1F5705FC" w14:textId="77777777" w:rsidR="001F5526" w:rsidRPr="005523D4" w:rsidRDefault="0082787C" w:rsidP="005523D4">
      <w:pPr>
        <w:tabs>
          <w:tab w:val="left" w:pos="720"/>
        </w:tabs>
        <w:spacing w:before="55" w:after="240"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E3415" w:rsidRPr="005523D4">
        <w:rPr>
          <w:rFonts w:ascii="Times New Roman" w:eastAsia="Arial" w:hAnsi="Times New Roman" w:cs="Times New Roman"/>
          <w:sz w:val="24"/>
          <w:szCs w:val="24"/>
        </w:rPr>
        <w:t>ensure that the service is closely connected to and coordinated with the program.</w:t>
      </w:r>
    </w:p>
    <w:p w14:paraId="688D5F9F" w14:textId="77777777" w:rsidR="001F5526" w:rsidRPr="00C54601" w:rsidRDefault="001F5526" w:rsidP="006274B9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C54601">
        <w:rPr>
          <w:rFonts w:ascii="Times New Roman" w:eastAsia="Arial" w:hAnsi="Times New Roman" w:cs="Times New Roman"/>
          <w:sz w:val="24"/>
          <w:szCs w:val="24"/>
        </w:rPr>
        <w:t>Relevant Laws, Rules, or Policies</w:t>
      </w:r>
    </w:p>
    <w:p w14:paraId="129A571E" w14:textId="77777777" w:rsidR="001F5526" w:rsidRPr="00F10D2C" w:rsidRDefault="00C27870" w:rsidP="006274B9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  <w:color w:val="0000FF"/>
          <w:sz w:val="24"/>
          <w:szCs w:val="24"/>
          <w:u w:val="single"/>
          <w:lang w:val="en"/>
        </w:rPr>
      </w:pPr>
      <w:hyperlink r:id="rId10" w:history="1">
        <w:r w:rsidR="001F5526" w:rsidRPr="00F10D2C">
          <w:rPr>
            <w:rStyle w:val="Hyperlink"/>
            <w:rFonts w:ascii="Times New Roman" w:eastAsia="Arial" w:hAnsi="Times New Roman" w:cs="Times New Roman"/>
            <w:color w:val="0000FF"/>
            <w:sz w:val="24"/>
            <w:szCs w:val="24"/>
            <w:lang w:val="en"/>
          </w:rPr>
          <w:t>Workforce Innovation and Opportunity Act (Public Law 113-128)</w:t>
        </w:r>
      </w:hyperlink>
    </w:p>
    <w:p w14:paraId="460CD325" w14:textId="77777777" w:rsidR="001F5526" w:rsidRPr="00F10D2C" w:rsidRDefault="001F5526" w:rsidP="006274B9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</w:pPr>
      <w:r w:rsidRPr="00F10D2C"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  <w:t>WI</w:t>
      </w:r>
      <w:r w:rsidR="00763296" w:rsidRPr="00F10D2C">
        <w:rPr>
          <w:rFonts w:ascii="Times New Roman" w:eastAsia="Arial" w:hAnsi="Times New Roman" w:cs="Times New Roman"/>
          <w:color w:val="0000FF"/>
          <w:sz w:val="24"/>
          <w:szCs w:val="24"/>
          <w:u w:val="single"/>
        </w:rPr>
        <w:t>OA Final Rule (issued 08-19-2016)</w:t>
      </w:r>
    </w:p>
    <w:p w14:paraId="750D0396" w14:textId="77777777" w:rsidR="00440B7A" w:rsidRDefault="00C27870" w:rsidP="006274B9">
      <w:pPr>
        <w:tabs>
          <w:tab w:val="left" w:pos="2539"/>
        </w:tabs>
        <w:spacing w:before="55" w:line="252" w:lineRule="exact"/>
        <w:rPr>
          <w:rStyle w:val="Hyperlink"/>
          <w:rFonts w:ascii="Times New Roman" w:eastAsia="Arial" w:hAnsi="Times New Roman" w:cs="Times New Roman"/>
          <w:color w:val="0000FF"/>
          <w:sz w:val="24"/>
          <w:szCs w:val="24"/>
        </w:rPr>
      </w:pPr>
      <w:hyperlink r:id="rId11" w:history="1">
        <w:r w:rsidR="00763296" w:rsidRPr="00F10D2C">
          <w:rPr>
            <w:rStyle w:val="Hyperlink"/>
            <w:rFonts w:ascii="Times New Roman" w:eastAsia="Arial" w:hAnsi="Times New Roman" w:cs="Times New Roman"/>
            <w:color w:val="0000FF"/>
            <w:sz w:val="24"/>
            <w:szCs w:val="24"/>
          </w:rPr>
          <w:t>WIOA Final Rule: Unified and Combined State Plans, Performance Accountability, and the One-Stop System Joint Provisions (issued 08-19-2016)</w:t>
        </w:r>
      </w:hyperlink>
    </w:p>
    <w:p w14:paraId="0F4F86D5" w14:textId="77777777" w:rsidR="00DB7486" w:rsidRDefault="00C27870" w:rsidP="006274B9">
      <w:pPr>
        <w:tabs>
          <w:tab w:val="left" w:pos="2539"/>
        </w:tabs>
        <w:spacing w:before="55" w:line="252" w:lineRule="exact"/>
        <w:rPr>
          <w:rStyle w:val="Hyperlink"/>
          <w:rFonts w:ascii="Times New Roman" w:eastAsia="Arial" w:hAnsi="Times New Roman" w:cs="Times New Roman"/>
          <w:color w:val="0000FF"/>
          <w:sz w:val="24"/>
          <w:szCs w:val="24"/>
        </w:rPr>
      </w:pPr>
      <w:hyperlink r:id="rId12" w:history="1">
        <w:r w:rsidR="00DB7486" w:rsidRPr="00DB748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2 CFR 200 (Uniform Administrative Requirements)</w:t>
        </w:r>
      </w:hyperlink>
    </w:p>
    <w:p w14:paraId="78F45E3C" w14:textId="77777777" w:rsidR="00DB7486" w:rsidRDefault="00C27870" w:rsidP="006274B9">
      <w:pPr>
        <w:tabs>
          <w:tab w:val="left" w:pos="2539"/>
        </w:tabs>
        <w:spacing w:before="55" w:line="252" w:lineRule="exact"/>
        <w:rPr>
          <w:rStyle w:val="Hyperlink"/>
          <w:rFonts w:ascii="Times New Roman" w:eastAsia="Arial" w:hAnsi="Times New Roman" w:cs="Times New Roman"/>
          <w:sz w:val="24"/>
          <w:szCs w:val="24"/>
        </w:rPr>
      </w:pPr>
      <w:hyperlink r:id="rId13" w:history="1">
        <w:r w:rsidR="00DB7486" w:rsidRPr="005523D4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2 CFR 2900 (Uniform Administrative Requirements, Cost Principles, and Audit Requirements </w:t>
        </w:r>
        <w:proofErr w:type="gramStart"/>
        <w:r w:rsidR="00DB7486" w:rsidRPr="005523D4">
          <w:rPr>
            <w:rStyle w:val="Hyperlink"/>
            <w:rFonts w:ascii="Times New Roman" w:eastAsia="Arial" w:hAnsi="Times New Roman" w:cs="Times New Roman"/>
            <w:sz w:val="24"/>
            <w:szCs w:val="24"/>
          </w:rPr>
          <w:t>For</w:t>
        </w:r>
        <w:proofErr w:type="gramEnd"/>
        <w:r w:rsidR="00DB7486" w:rsidRPr="005523D4">
          <w:rPr>
            <w:rStyle w:val="Hyperlink"/>
            <w:rFonts w:ascii="Times New Roman" w:eastAsia="Arial" w:hAnsi="Times New Roman" w:cs="Times New Roman"/>
            <w:sz w:val="24"/>
            <w:szCs w:val="24"/>
          </w:rPr>
          <w:t xml:space="preserve"> Federal Awards)</w:t>
        </w:r>
      </w:hyperlink>
    </w:p>
    <w:p w14:paraId="51D0213A" w14:textId="2A6C838F" w:rsidR="00AD4542" w:rsidRDefault="00C27870" w:rsidP="006274B9">
      <w:pPr>
        <w:tabs>
          <w:tab w:val="left" w:pos="2539"/>
        </w:tabs>
        <w:spacing w:before="55" w:line="252" w:lineRule="exact"/>
        <w:rPr>
          <w:rStyle w:val="Hyperlink"/>
          <w:rFonts w:ascii="Times New Roman" w:eastAsia="Arial" w:hAnsi="Times New Roman" w:cs="Times New Roman"/>
          <w:sz w:val="24"/>
          <w:szCs w:val="24"/>
        </w:rPr>
      </w:pPr>
      <w:hyperlink r:id="rId14" w:history="1">
        <w:r w:rsidR="00AD4542" w:rsidRPr="00AD4542">
          <w:rPr>
            <w:rStyle w:val="Hyperlink"/>
            <w:rFonts w:ascii="Times New Roman" w:eastAsia="Arial" w:hAnsi="Times New Roman" w:cs="Times New Roman"/>
            <w:sz w:val="24"/>
            <w:szCs w:val="24"/>
          </w:rPr>
          <w:t>2018 WIOA Core Monitoring Guide</w:t>
        </w:r>
      </w:hyperlink>
    </w:p>
    <w:p w14:paraId="36467ABA" w14:textId="77777777" w:rsidR="00F12E26" w:rsidRPr="00F12E26" w:rsidRDefault="00F12E26" w:rsidP="00F12E26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  <w:color w:val="0000FF"/>
          <w:sz w:val="24"/>
          <w:szCs w:val="24"/>
          <w:highlight w:val="yellow"/>
          <w:u w:val="single"/>
        </w:rPr>
      </w:pPr>
      <w:hyperlink r:id="rId15" w:history="1">
        <w:r w:rsidRPr="00F12E26">
          <w:rPr>
            <w:rStyle w:val="Hyperlink"/>
            <w:rFonts w:ascii="Times New Roman" w:eastAsia="Arial" w:hAnsi="Times New Roman" w:cs="Times New Roman"/>
            <w:sz w:val="24"/>
            <w:szCs w:val="24"/>
            <w:highlight w:val="yellow"/>
          </w:rPr>
          <w:t>U.S. Dept. of Labor Training and Employment Guidance Letter No. 23-14 (Dated 3-26-15)</w:t>
        </w:r>
      </w:hyperlink>
      <w:r w:rsidRPr="00F12E26">
        <w:rPr>
          <w:rFonts w:ascii="Times New Roman" w:eastAsia="Arial" w:hAnsi="Times New Roman" w:cs="Times New Roman"/>
          <w:color w:val="0000FF"/>
          <w:sz w:val="24"/>
          <w:szCs w:val="24"/>
          <w:highlight w:val="yellow"/>
          <w:u w:val="single"/>
        </w:rPr>
        <w:t xml:space="preserve"> </w:t>
      </w:r>
    </w:p>
    <w:p w14:paraId="48DF0D82" w14:textId="77777777" w:rsidR="00F12E26" w:rsidRPr="00F12E26" w:rsidRDefault="00F12E26" w:rsidP="00F12E26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  <w:color w:val="0000FF"/>
          <w:sz w:val="24"/>
          <w:szCs w:val="24"/>
          <w:highlight w:val="yellow"/>
          <w:u w:val="single"/>
        </w:rPr>
      </w:pPr>
      <w:hyperlink r:id="rId16" w:history="1">
        <w:r w:rsidRPr="00F12E26">
          <w:rPr>
            <w:rStyle w:val="Hyperlink"/>
            <w:rFonts w:ascii="Times New Roman" w:eastAsia="Arial" w:hAnsi="Times New Roman" w:cs="Times New Roman"/>
            <w:color w:val="0000FF"/>
            <w:sz w:val="24"/>
            <w:szCs w:val="24"/>
            <w:highlight w:val="yellow"/>
          </w:rPr>
          <w:t>U.S. Dept. of Labor Training and Employment Guidance Letter No. 8-15 (Dated 11-17-15)</w:t>
        </w:r>
      </w:hyperlink>
    </w:p>
    <w:p w14:paraId="30160932" w14:textId="4DCAD7CA" w:rsidR="00F12E26" w:rsidRDefault="00F12E26" w:rsidP="00F12E26">
      <w:pPr>
        <w:spacing w:before="4"/>
        <w:rPr>
          <w:rStyle w:val="Hyperlink"/>
          <w:rFonts w:ascii="Times New Roman" w:eastAsia="Arial" w:hAnsi="Times New Roman" w:cs="Times New Roman"/>
          <w:color w:val="0000FF"/>
          <w:sz w:val="24"/>
          <w:szCs w:val="24"/>
        </w:rPr>
      </w:pPr>
      <w:r w:rsidRPr="00F12E26">
        <w:rPr>
          <w:rStyle w:val="Hyperlink"/>
          <w:rFonts w:ascii="Times New Roman" w:eastAsia="Arial" w:hAnsi="Times New Roman" w:cs="Times New Roman"/>
          <w:color w:val="0000FF"/>
          <w:sz w:val="24"/>
          <w:szCs w:val="24"/>
          <w:highlight w:val="yellow"/>
        </w:rPr>
        <w:t>U.S. Dept. of Labor Training and Employment Guidance Letter No. 21-16 (Dated 3-2-17)</w:t>
      </w:r>
    </w:p>
    <w:p w14:paraId="1FE9DC47" w14:textId="77777777" w:rsidR="00F12E26" w:rsidRPr="00DF5750" w:rsidRDefault="00F12E26" w:rsidP="00F12E26">
      <w:pPr>
        <w:pStyle w:val="NoSpacing"/>
        <w:jc w:val="left"/>
        <w:rPr>
          <w:rStyle w:val="Hyperlink"/>
          <w:rFonts w:ascii="Times New Roman" w:hAnsi="Times New Roman" w:cs="Times New Roman"/>
          <w:sz w:val="24"/>
          <w:szCs w:val="24"/>
          <w:highlight w:val="yellow"/>
        </w:rPr>
      </w:pPr>
      <w:hyperlink r:id="rId17" w:history="1">
        <w:r w:rsidRPr="00BA23C4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U.S. Dept. of Labor Training and Employment Guidance Letter No. 9-22 (Dated March 2, 2023)</w:t>
        </w:r>
      </w:hyperlink>
    </w:p>
    <w:p w14:paraId="38978A9C" w14:textId="77777777" w:rsidR="009F6013" w:rsidRPr="00F10D2C" w:rsidRDefault="009F6013" w:rsidP="006274B9">
      <w:pPr>
        <w:tabs>
          <w:tab w:val="left" w:pos="2539"/>
        </w:tabs>
        <w:spacing w:before="55" w:line="252" w:lineRule="exact"/>
        <w:rPr>
          <w:rFonts w:ascii="Times New Roman" w:eastAsia="Arial" w:hAnsi="Times New Roman" w:cs="Times New Roman"/>
          <w:color w:val="0000FF"/>
          <w:sz w:val="24"/>
          <w:szCs w:val="24"/>
        </w:rPr>
      </w:pPr>
    </w:p>
    <w:p w14:paraId="28AD42AA" w14:textId="77777777" w:rsidR="001F5526" w:rsidRPr="00C54601" w:rsidRDefault="001F5526" w:rsidP="001F5526">
      <w:pPr>
        <w:tabs>
          <w:tab w:val="left" w:pos="2539"/>
        </w:tabs>
        <w:spacing w:before="55" w:line="252" w:lineRule="exact"/>
        <w:ind w:left="200"/>
        <w:rPr>
          <w:rFonts w:ascii="Times New Roman" w:eastAsia="Arial" w:hAnsi="Times New Roman" w:cs="Times New Roman"/>
          <w:sz w:val="24"/>
          <w:szCs w:val="24"/>
        </w:rPr>
      </w:pPr>
    </w:p>
    <w:p w14:paraId="19E32BE2" w14:textId="77777777" w:rsidR="001F5526" w:rsidRPr="006274B9" w:rsidRDefault="00424BB9" w:rsidP="006274B9">
      <w:pPr>
        <w:tabs>
          <w:tab w:val="left" w:pos="2540"/>
          <w:tab w:val="left" w:pos="4699"/>
        </w:tabs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6274B9">
        <w:rPr>
          <w:rFonts w:ascii="Times New Roman" w:hAnsi="Times New Roman" w:cs="Times New Roman"/>
          <w:sz w:val="24"/>
          <w:szCs w:val="24"/>
        </w:rPr>
        <w:t>Effective</w:t>
      </w:r>
      <w:r w:rsidRPr="006274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274B9">
        <w:rPr>
          <w:rFonts w:ascii="Times New Roman" w:hAnsi="Times New Roman" w:cs="Times New Roman"/>
          <w:sz w:val="24"/>
          <w:szCs w:val="24"/>
        </w:rPr>
        <w:t>Date</w:t>
      </w:r>
      <w:r w:rsidRPr="006274B9">
        <w:rPr>
          <w:rFonts w:ascii="Times New Roman" w:hAnsi="Times New Roman" w:cs="Times New Roman"/>
          <w:sz w:val="24"/>
          <w:szCs w:val="24"/>
        </w:rPr>
        <w:tab/>
      </w:r>
    </w:p>
    <w:p w14:paraId="3B173273" w14:textId="77777777" w:rsidR="001F5526" w:rsidRPr="00C54601" w:rsidRDefault="003C7564" w:rsidP="006274B9">
      <w:pPr>
        <w:tabs>
          <w:tab w:val="left" w:pos="2540"/>
          <w:tab w:val="left" w:pos="4699"/>
        </w:tabs>
        <w:spacing w:line="252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E3415">
        <w:rPr>
          <w:rFonts w:ascii="Times New Roman" w:hAnsi="Times New Roman" w:cs="Times New Roman"/>
          <w:sz w:val="24"/>
          <w:szCs w:val="24"/>
        </w:rPr>
        <w:t>/01/2018</w:t>
      </w:r>
    </w:p>
    <w:p w14:paraId="03F74C35" w14:textId="77777777" w:rsidR="001F5526" w:rsidRPr="00C54601" w:rsidRDefault="001F5526">
      <w:pPr>
        <w:tabs>
          <w:tab w:val="left" w:pos="2540"/>
          <w:tab w:val="left" w:pos="4699"/>
        </w:tabs>
        <w:spacing w:line="252" w:lineRule="exact"/>
        <w:ind w:left="200"/>
        <w:rPr>
          <w:rFonts w:ascii="Times New Roman" w:hAnsi="Times New Roman" w:cs="Times New Roman"/>
          <w:spacing w:val="-1"/>
          <w:sz w:val="24"/>
          <w:szCs w:val="24"/>
          <w:highlight w:val="yellow"/>
        </w:rPr>
      </w:pPr>
    </w:p>
    <w:p w14:paraId="41334C58" w14:textId="77777777" w:rsidR="001F5526" w:rsidRPr="00C54601" w:rsidRDefault="001F5526" w:rsidP="006274B9">
      <w:pPr>
        <w:tabs>
          <w:tab w:val="left" w:pos="2540"/>
          <w:tab w:val="left" w:pos="4699"/>
        </w:tabs>
        <w:spacing w:line="252" w:lineRule="exact"/>
        <w:rPr>
          <w:rFonts w:ascii="Times New Roman" w:hAnsi="Times New Roman" w:cs="Times New Roman"/>
          <w:spacing w:val="51"/>
          <w:sz w:val="24"/>
          <w:szCs w:val="24"/>
        </w:rPr>
      </w:pPr>
      <w:r w:rsidRPr="00C54601">
        <w:rPr>
          <w:rFonts w:ascii="Times New Roman" w:hAnsi="Times New Roman" w:cs="Times New Roman"/>
          <w:spacing w:val="-1"/>
          <w:sz w:val="24"/>
          <w:szCs w:val="24"/>
        </w:rPr>
        <w:t xml:space="preserve">Last </w:t>
      </w:r>
      <w:r w:rsidR="006274B9">
        <w:rPr>
          <w:rFonts w:ascii="Times New Roman" w:hAnsi="Times New Roman" w:cs="Times New Roman"/>
          <w:sz w:val="24"/>
          <w:szCs w:val="24"/>
        </w:rPr>
        <w:t>Updated</w:t>
      </w:r>
    </w:p>
    <w:p w14:paraId="6804A38F" w14:textId="49306FAB" w:rsidR="007228EE" w:rsidRPr="004C33A2" w:rsidRDefault="00F12E26" w:rsidP="006274B9">
      <w:pPr>
        <w:tabs>
          <w:tab w:val="left" w:pos="2540"/>
          <w:tab w:val="left" w:pos="4699"/>
        </w:tabs>
        <w:spacing w:line="252" w:lineRule="exact"/>
        <w:rPr>
          <w:rFonts w:ascii="Times New Roman" w:eastAsia="Arial" w:hAnsi="Times New Roman" w:cs="Times New Roman"/>
          <w:color w:val="C00000"/>
          <w:sz w:val="24"/>
          <w:szCs w:val="24"/>
        </w:rPr>
      </w:pPr>
      <w:r w:rsidRPr="004C33A2">
        <w:rPr>
          <w:rFonts w:ascii="Times New Roman" w:eastAsia="Arial" w:hAnsi="Times New Roman" w:cs="Times New Roman"/>
          <w:color w:val="C00000"/>
          <w:sz w:val="24"/>
          <w:szCs w:val="24"/>
        </w:rPr>
        <w:lastRenderedPageBreak/>
        <w:t>04/05/2023</w:t>
      </w:r>
    </w:p>
    <w:p w14:paraId="15038BC1" w14:textId="77777777" w:rsidR="001F5526" w:rsidRPr="00C54601" w:rsidRDefault="001F5526" w:rsidP="001F5526">
      <w:pPr>
        <w:tabs>
          <w:tab w:val="left" w:pos="2540"/>
          <w:tab w:val="left" w:pos="4699"/>
        </w:tabs>
        <w:spacing w:line="252" w:lineRule="exact"/>
        <w:ind w:left="200"/>
        <w:rPr>
          <w:rFonts w:ascii="Times New Roman" w:eastAsia="Arial" w:hAnsi="Times New Roman" w:cs="Times New Roman"/>
          <w:sz w:val="24"/>
          <w:szCs w:val="24"/>
        </w:rPr>
      </w:pPr>
    </w:p>
    <w:p w14:paraId="441526AE" w14:textId="77777777" w:rsidR="001F5526" w:rsidRPr="00C54601" w:rsidRDefault="001F5526" w:rsidP="006274B9">
      <w:pPr>
        <w:tabs>
          <w:tab w:val="left" w:pos="2540"/>
          <w:tab w:val="left" w:pos="4699"/>
        </w:tabs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C54601">
        <w:rPr>
          <w:rFonts w:ascii="Times New Roman" w:eastAsia="Arial" w:hAnsi="Times New Roman" w:cs="Times New Roman"/>
          <w:sz w:val="24"/>
          <w:szCs w:val="24"/>
        </w:rPr>
        <w:t>Contact</w:t>
      </w:r>
    </w:p>
    <w:p w14:paraId="7A79CA8F" w14:textId="77777777" w:rsidR="00175B6C" w:rsidRDefault="00175B6C" w:rsidP="006274B9">
      <w:pPr>
        <w:tabs>
          <w:tab w:val="left" w:pos="2540"/>
          <w:tab w:val="left" w:pos="4699"/>
        </w:tabs>
        <w:spacing w:line="252" w:lineRule="exact"/>
        <w:ind w:left="180" w:hanging="1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Kay Tracy</w:t>
      </w:r>
    </w:p>
    <w:p w14:paraId="2D5CB8A0" w14:textId="77777777" w:rsidR="001F5526" w:rsidRPr="00C54601" w:rsidRDefault="00175B6C" w:rsidP="006274B9">
      <w:pPr>
        <w:tabs>
          <w:tab w:val="left" w:pos="200"/>
          <w:tab w:val="left" w:pos="270"/>
          <w:tab w:val="left" w:pos="2540"/>
          <w:tab w:val="left" w:pos="4699"/>
        </w:tabs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Email: </w:t>
      </w:r>
      <w:hyperlink r:id="rId18" w:history="1">
        <w:r w:rsidR="001F5526" w:rsidRPr="00C54601">
          <w:rPr>
            <w:rStyle w:val="Hyperlink"/>
            <w:rFonts w:ascii="Times New Roman" w:eastAsia="Arial" w:hAnsi="Times New Roman" w:cs="Times New Roman"/>
            <w:sz w:val="24"/>
            <w:szCs w:val="24"/>
          </w:rPr>
          <w:t>Kay.Tracy@state.mn.us</w:t>
        </w:r>
      </w:hyperlink>
    </w:p>
    <w:p w14:paraId="5923A286" w14:textId="77777777" w:rsidR="001F5526" w:rsidRPr="00C54601" w:rsidRDefault="00175B6C" w:rsidP="006274B9">
      <w:pPr>
        <w:tabs>
          <w:tab w:val="left" w:pos="2540"/>
          <w:tab w:val="left" w:pos="4699"/>
        </w:tabs>
        <w:spacing w:line="252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Phone:</w:t>
      </w:r>
      <w:r w:rsidR="001F5526" w:rsidRPr="00C54601">
        <w:rPr>
          <w:rFonts w:ascii="Times New Roman" w:eastAsia="Arial" w:hAnsi="Times New Roman" w:cs="Times New Roman"/>
          <w:sz w:val="24"/>
          <w:szCs w:val="24"/>
        </w:rPr>
        <w:t xml:space="preserve">  651.259.7555</w:t>
      </w:r>
    </w:p>
    <w:p w14:paraId="471EC4B2" w14:textId="77777777" w:rsidR="00A7739E" w:rsidRDefault="00A7739E">
      <w:pPr>
        <w:spacing w:before="1"/>
        <w:ind w:left="200"/>
        <w:rPr>
          <w:rFonts w:ascii="Times New Roman" w:hAnsi="Times New Roman" w:cs="Times New Roman"/>
          <w:sz w:val="24"/>
          <w:szCs w:val="24"/>
        </w:rPr>
      </w:pPr>
    </w:p>
    <w:p w14:paraId="026CCE97" w14:textId="77777777" w:rsidR="00A7739E" w:rsidRDefault="00175B6C" w:rsidP="006274B9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Olson</w:t>
      </w:r>
    </w:p>
    <w:p w14:paraId="233E15E1" w14:textId="77777777" w:rsidR="006274B9" w:rsidRPr="006274B9" w:rsidRDefault="006274B9" w:rsidP="006274B9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6274B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9" w:history="1">
        <w:r w:rsidRPr="005C76F1">
          <w:rPr>
            <w:rStyle w:val="Hyperlink"/>
            <w:rFonts w:ascii="Times New Roman" w:hAnsi="Times New Roman" w:cs="Times New Roman"/>
            <w:sz w:val="24"/>
            <w:szCs w:val="24"/>
          </w:rPr>
          <w:t>John.R.Olson@state.mn.us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13DD" w14:textId="77777777" w:rsidR="00175B6C" w:rsidRDefault="006274B9" w:rsidP="006274B9">
      <w:pPr>
        <w:spacing w:before="1"/>
        <w:rPr>
          <w:rFonts w:ascii="Times New Roman" w:hAnsi="Times New Roman" w:cs="Times New Roman"/>
          <w:sz w:val="24"/>
          <w:szCs w:val="24"/>
        </w:rPr>
      </w:pPr>
      <w:r w:rsidRPr="006274B9">
        <w:rPr>
          <w:rFonts w:ascii="Times New Roman" w:hAnsi="Times New Roman" w:cs="Times New Roman"/>
          <w:sz w:val="24"/>
          <w:szCs w:val="24"/>
        </w:rPr>
        <w:t xml:space="preserve">Phone: </w:t>
      </w:r>
      <w:r w:rsidR="00491419">
        <w:rPr>
          <w:rFonts w:ascii="Times New Roman" w:hAnsi="Times New Roman" w:cs="Times New Roman"/>
          <w:sz w:val="24"/>
          <w:szCs w:val="24"/>
        </w:rPr>
        <w:t>651.259.7547</w:t>
      </w:r>
    </w:p>
    <w:p w14:paraId="0C38B578" w14:textId="77777777" w:rsidR="006274B9" w:rsidRDefault="006274B9" w:rsidP="006274B9">
      <w:pPr>
        <w:spacing w:before="1"/>
        <w:ind w:left="200"/>
        <w:rPr>
          <w:rFonts w:ascii="Times New Roman" w:hAnsi="Times New Roman" w:cs="Times New Roman"/>
          <w:sz w:val="24"/>
          <w:szCs w:val="24"/>
        </w:rPr>
      </w:pPr>
    </w:p>
    <w:p w14:paraId="76966833" w14:textId="77777777" w:rsidR="00DB7486" w:rsidRPr="00DB7486" w:rsidRDefault="00DB7486" w:rsidP="00DB7486">
      <w:pPr>
        <w:rPr>
          <w:rFonts w:ascii="Times New Roman" w:hAnsi="Times New Roman" w:cs="Times New Roman"/>
          <w:sz w:val="24"/>
          <w:szCs w:val="24"/>
        </w:rPr>
      </w:pPr>
      <w:r w:rsidRPr="00DB7486">
        <w:rPr>
          <w:rFonts w:ascii="Times New Roman" w:hAnsi="Times New Roman" w:cs="Times New Roman"/>
          <w:sz w:val="24"/>
          <w:szCs w:val="24"/>
        </w:rPr>
        <w:t>Policy</w:t>
      </w:r>
    </w:p>
    <w:p w14:paraId="032861CB" w14:textId="77777777" w:rsidR="00DB7486" w:rsidRPr="00DB7486" w:rsidRDefault="00DB7486" w:rsidP="00DB7486">
      <w:pPr>
        <w:rPr>
          <w:rFonts w:ascii="Times New Roman" w:hAnsi="Times New Roman" w:cs="Times New Roman"/>
          <w:sz w:val="24"/>
          <w:szCs w:val="24"/>
        </w:rPr>
      </w:pPr>
    </w:p>
    <w:p w14:paraId="3F3C6690" w14:textId="77777777" w:rsidR="00DB7486" w:rsidRPr="00DB7486" w:rsidRDefault="00DB7486" w:rsidP="00DB7486">
      <w:pPr>
        <w:rPr>
          <w:rFonts w:ascii="Times New Roman" w:hAnsi="Times New Roman" w:cs="Times New Roman"/>
          <w:sz w:val="24"/>
          <w:szCs w:val="24"/>
        </w:rPr>
      </w:pPr>
      <w:r w:rsidRPr="00DB7486">
        <w:rPr>
          <w:rFonts w:ascii="Times New Roman" w:hAnsi="Times New Roman" w:cs="Times New Roman"/>
          <w:sz w:val="24"/>
          <w:szCs w:val="24"/>
        </w:rPr>
        <w:t>The provisions of this policy apply to Administrative Entities in their role as pass-through entities that award subawards to subrecipients to carry out part of the local WIOA Title I youth program.  Administrative entities must follow the procurement standards established in the Uniform Guidance, key provisions of which are summarized below to stress their importance.  Each Administrative Entity must:</w:t>
      </w:r>
    </w:p>
    <w:p w14:paraId="0B37768A" w14:textId="77777777" w:rsidR="00DB7486" w:rsidRPr="00DB7486" w:rsidRDefault="00DB7486" w:rsidP="00DB7486">
      <w:pPr>
        <w:rPr>
          <w:rFonts w:ascii="Times New Roman" w:hAnsi="Times New Roman" w:cs="Times New Roman"/>
          <w:sz w:val="24"/>
          <w:szCs w:val="24"/>
        </w:rPr>
      </w:pPr>
    </w:p>
    <w:p w14:paraId="1F22F941" w14:textId="48E92B3B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Have a written agreement (Memorandum of Understanding, or MOU) with each partner provider to ensure that the negotiated service will be offered; and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BC0F4B4" w14:textId="342C60C2" w:rsid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Ensure that the service is closely connected to and coordinated with the program.</w:t>
      </w:r>
    </w:p>
    <w:p w14:paraId="2588C2A7" w14:textId="77777777" w:rsidR="00F60E1F" w:rsidRPr="00F60E1F" w:rsidRDefault="00F60E1F" w:rsidP="00F60E1F">
      <w:pPr>
        <w:spacing w:before="8"/>
        <w:ind w:left="720"/>
        <w:rPr>
          <w:rFonts w:ascii="Times New Roman" w:hAnsi="Times New Roman" w:cs="Times New Roman"/>
          <w:sz w:val="24"/>
          <w:szCs w:val="24"/>
        </w:rPr>
      </w:pPr>
    </w:p>
    <w:p w14:paraId="547858CF" w14:textId="0AA041C9" w:rsid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 xml:space="preserve">Use its own documented procurement policies and procedures, provided they at least conform to the standards in the Uniform </w:t>
      </w:r>
      <w:proofErr w:type="gramStart"/>
      <w:r w:rsidRPr="00F60E1F">
        <w:rPr>
          <w:rFonts w:ascii="Times New Roman" w:hAnsi="Times New Roman" w:cs="Times New Roman"/>
          <w:sz w:val="24"/>
          <w:szCs w:val="24"/>
        </w:rPr>
        <w:t>Guidance;</w:t>
      </w:r>
      <w:proofErr w:type="gramEnd"/>
    </w:p>
    <w:p w14:paraId="41086994" w14:textId="77777777" w:rsidR="00F60E1F" w:rsidRPr="00F60E1F" w:rsidRDefault="00F60E1F" w:rsidP="00F60E1F">
      <w:pPr>
        <w:spacing w:before="8"/>
        <w:ind w:left="720"/>
        <w:rPr>
          <w:rFonts w:ascii="Times New Roman" w:hAnsi="Times New Roman" w:cs="Times New Roman"/>
          <w:sz w:val="24"/>
          <w:szCs w:val="24"/>
        </w:rPr>
      </w:pPr>
    </w:p>
    <w:p w14:paraId="27F3D89D" w14:textId="7AC71706" w:rsid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 xml:space="preserve">Maintain written standards of conduct covering conflicts of interest and governing the actions of its employees engaged in the selection, award, and administration of subawards and </w:t>
      </w:r>
      <w:proofErr w:type="gramStart"/>
      <w:r w:rsidRPr="00F60E1F">
        <w:rPr>
          <w:rFonts w:ascii="Times New Roman" w:hAnsi="Times New Roman" w:cs="Times New Roman"/>
          <w:sz w:val="24"/>
          <w:szCs w:val="24"/>
        </w:rPr>
        <w:t>contracts;</w:t>
      </w:r>
      <w:proofErr w:type="gramEnd"/>
    </w:p>
    <w:p w14:paraId="42CB2D3A" w14:textId="77777777" w:rsidR="00F60E1F" w:rsidRPr="00F60E1F" w:rsidRDefault="00F60E1F" w:rsidP="00F60E1F">
      <w:pPr>
        <w:spacing w:before="8"/>
        <w:ind w:left="720"/>
        <w:rPr>
          <w:rFonts w:ascii="Times New Roman" w:hAnsi="Times New Roman" w:cs="Times New Roman"/>
          <w:sz w:val="24"/>
          <w:szCs w:val="24"/>
        </w:rPr>
      </w:pPr>
    </w:p>
    <w:p w14:paraId="50C9C997" w14:textId="0792E137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Maintain written standards of conduct covering organizational conflicts of interest if the administrative entity has a parent, affiliate, or subsidiary organization that is not a state or local government;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847756D" w14:textId="077A9471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Maintain, retain, and provide access records detailing the history of procurement;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70D30E" w14:textId="049D754B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Conduct all procurement transactions in a manner that provides fair and open competition that is fully transparent;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B5D8E9D" w14:textId="27A9613D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Ensure that subawards are not awarded to third parties that are debarred, suspended, or excluded from or ineligible for participation in Federal programs;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34DE4D" w14:textId="28043455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Award subawards to third parties capable of successful performance under the provisions of their respective agreement;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A40EB76" w14:textId="44586C2F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Maintain adequate oversight and monitoring to ensure that subrecipients perform according to the provision of their respective grant agreement; and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96169D" w14:textId="77777777" w:rsidR="00F60E1F" w:rsidRPr="00F60E1F" w:rsidRDefault="00F60E1F" w:rsidP="00F60E1F">
      <w:pPr>
        <w:numPr>
          <w:ilvl w:val="0"/>
          <w:numId w:val="19"/>
        </w:numPr>
        <w:spacing w:before="8"/>
        <w:rPr>
          <w:rFonts w:ascii="Times New Roman" w:hAnsi="Times New Roman" w:cs="Times New Roman"/>
          <w:b/>
          <w:bCs/>
          <w:sz w:val="24"/>
          <w:szCs w:val="24"/>
        </w:rPr>
      </w:pPr>
      <w:r w:rsidRPr="00F60E1F">
        <w:rPr>
          <w:rFonts w:ascii="Times New Roman" w:hAnsi="Times New Roman" w:cs="Times New Roman"/>
          <w:sz w:val="24"/>
          <w:szCs w:val="24"/>
        </w:rPr>
        <w:t>Be responsible for the settlement of all contractual and administrative issues arising out of agreements.</w:t>
      </w:r>
    </w:p>
    <w:p w14:paraId="04480565" w14:textId="77777777" w:rsidR="006E74E2" w:rsidRDefault="006E74E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5A03AF1C" w14:textId="77777777" w:rsidR="00E474B0" w:rsidRPr="00E474B0" w:rsidRDefault="00E474B0">
      <w:pPr>
        <w:spacing w:before="8"/>
        <w:rPr>
          <w:rFonts w:ascii="Times New Roman" w:eastAsia="Arial" w:hAnsi="Times New Roman" w:cs="Times New Roman"/>
          <w:sz w:val="24"/>
          <w:szCs w:val="24"/>
        </w:rPr>
      </w:pPr>
      <w:r w:rsidRPr="00E474B0">
        <w:rPr>
          <w:rFonts w:ascii="Times New Roman" w:eastAsia="Arial" w:hAnsi="Times New Roman" w:cs="Times New Roman"/>
          <w:sz w:val="24"/>
          <w:szCs w:val="24"/>
        </w:rPr>
        <w:lastRenderedPageBreak/>
        <w:t>Related Links</w:t>
      </w:r>
    </w:p>
    <w:p w14:paraId="5A61A095" w14:textId="77777777" w:rsidR="00C54601" w:rsidRDefault="00C54601" w:rsidP="00C54601">
      <w:pPr>
        <w:ind w:left="720" w:firstLine="20"/>
      </w:pPr>
    </w:p>
    <w:p w14:paraId="6E5A650B" w14:textId="77777777" w:rsidR="007228EE" w:rsidRDefault="00C27870" w:rsidP="00E474B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  <w:hyperlink r:id="rId20" w:tgtFrame="_blank" w:tooltip="http://mn.gov/deed/programs-services/office-youth-development/index.jsp" w:history="1">
        <w:r w:rsidR="001650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DEED Young Adult Website</w:t>
        </w:r>
      </w:hyperlink>
    </w:p>
    <w:p w14:paraId="1CE34CF0" w14:textId="77777777" w:rsidR="00E474B0" w:rsidRDefault="00E474B0" w:rsidP="00E474B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"/>
        </w:rPr>
      </w:pPr>
    </w:p>
    <w:sectPr w:rsidR="00E474B0">
      <w:footerReference w:type="default" r:id="rId21"/>
      <w:pgSz w:w="12240" w:h="15840"/>
      <w:pgMar w:top="1300" w:right="8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E4D5" w14:textId="77777777" w:rsidR="00E047D7" w:rsidRDefault="00E047D7">
      <w:r>
        <w:separator/>
      </w:r>
    </w:p>
  </w:endnote>
  <w:endnote w:type="continuationSeparator" w:id="0">
    <w:p w14:paraId="21CF7F52" w14:textId="77777777" w:rsidR="00E047D7" w:rsidRDefault="00E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F52" w14:textId="77777777" w:rsidR="00E16AA9" w:rsidRDefault="00E16AA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ACF3" w14:textId="77777777" w:rsidR="00E047D7" w:rsidRDefault="00E047D7">
      <w:r>
        <w:separator/>
      </w:r>
    </w:p>
  </w:footnote>
  <w:footnote w:type="continuationSeparator" w:id="0">
    <w:p w14:paraId="130B53E1" w14:textId="77777777" w:rsidR="00E047D7" w:rsidRDefault="00E0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3A"/>
    <w:multiLevelType w:val="multilevel"/>
    <w:tmpl w:val="2DC68AF0"/>
    <w:lvl w:ilvl="0">
      <w:start w:val="4"/>
      <w:numFmt w:val="decimal"/>
      <w:lvlText w:val="%1"/>
      <w:lvlJc w:val="left"/>
      <w:pPr>
        <w:ind w:left="912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3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left="120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1" w15:restartNumberingAfterBreak="0">
    <w:nsid w:val="04AA214D"/>
    <w:multiLevelType w:val="hybridMultilevel"/>
    <w:tmpl w:val="927890B2"/>
    <w:lvl w:ilvl="0" w:tplc="822421C2">
      <w:start w:val="1"/>
      <w:numFmt w:val="decimal"/>
      <w:lvlText w:val="%1."/>
      <w:lvlJc w:val="left"/>
      <w:pPr>
        <w:ind w:left="190" w:hanging="360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47AF5D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2" w:tplc="8C54DB1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80C0D5B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F39C3AAC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5728296A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6" w:tplc="165C4D8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98EE8274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00E0CB2E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2" w15:restartNumberingAfterBreak="0">
    <w:nsid w:val="0A453778"/>
    <w:multiLevelType w:val="hybridMultilevel"/>
    <w:tmpl w:val="647C767E"/>
    <w:lvl w:ilvl="0" w:tplc="49A6EFD6">
      <w:start w:val="1"/>
      <w:numFmt w:val="bullet"/>
      <w:lvlText w:val=""/>
      <w:lvlJc w:val="left"/>
      <w:pPr>
        <w:ind w:left="1100" w:hanging="360"/>
      </w:pPr>
      <w:rPr>
        <w:rFonts w:ascii="Symbol" w:eastAsia="Symbol" w:hAnsi="Symbol" w:hint="default"/>
        <w:sz w:val="20"/>
        <w:szCs w:val="20"/>
      </w:rPr>
    </w:lvl>
    <w:lvl w:ilvl="1" w:tplc="8D34838C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251294E4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7116EB3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FF4492D6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94F4BC44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0ECA97F2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BC78DE8A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EE4A137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" w15:restartNumberingAfterBreak="0">
    <w:nsid w:val="0C1C3AF3"/>
    <w:multiLevelType w:val="hybridMultilevel"/>
    <w:tmpl w:val="5A2E3362"/>
    <w:lvl w:ilvl="0" w:tplc="889A09B6">
      <w:start w:val="1"/>
      <w:numFmt w:val="decimal"/>
      <w:lvlText w:val="%1."/>
      <w:lvlJc w:val="left"/>
      <w:pPr>
        <w:ind w:left="1100" w:hanging="360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56FA204E">
      <w:start w:val="1"/>
      <w:numFmt w:val="lowerLetter"/>
      <w:lvlText w:val="%2."/>
      <w:lvlJc w:val="left"/>
      <w:pPr>
        <w:ind w:left="1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9704E526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943C3AEA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B2C4B2F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6C20672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26068D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7A86FE8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C683C3E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4" w15:restartNumberingAfterBreak="0">
    <w:nsid w:val="0C4E417E"/>
    <w:multiLevelType w:val="hybridMultilevel"/>
    <w:tmpl w:val="A9A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10F"/>
    <w:multiLevelType w:val="hybridMultilevel"/>
    <w:tmpl w:val="B790ADFC"/>
    <w:lvl w:ilvl="0" w:tplc="4440D680">
      <w:start w:val="1"/>
      <w:numFmt w:val="decimal"/>
      <w:lvlText w:val="%1."/>
      <w:lvlJc w:val="left"/>
      <w:pPr>
        <w:ind w:left="1280" w:hanging="360"/>
      </w:pPr>
      <w:rPr>
        <w:rFonts w:ascii="Times New Roman" w:eastAsia="Arial" w:hAnsi="Times New Roman" w:cs="Times New Roman" w:hint="default"/>
        <w:b/>
        <w:bCs/>
        <w:w w:val="99"/>
        <w:sz w:val="24"/>
        <w:szCs w:val="22"/>
      </w:rPr>
    </w:lvl>
    <w:lvl w:ilvl="1" w:tplc="5EDEBDB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236C43B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2B2CE36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80BAFB06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A3C2F55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FC04D6F8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86A28836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21E0E8D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6" w15:restartNumberingAfterBreak="0">
    <w:nsid w:val="24074726"/>
    <w:multiLevelType w:val="multilevel"/>
    <w:tmpl w:val="BC06C350"/>
    <w:lvl w:ilvl="0">
      <w:start w:val="1"/>
      <w:numFmt w:val="decimal"/>
      <w:lvlText w:val="%1"/>
      <w:lvlJc w:val="left"/>
      <w:pPr>
        <w:ind w:left="912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43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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7" w15:restartNumberingAfterBreak="0">
    <w:nsid w:val="29363E1F"/>
    <w:multiLevelType w:val="hybridMultilevel"/>
    <w:tmpl w:val="B8E0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70C6C"/>
    <w:multiLevelType w:val="multilevel"/>
    <w:tmpl w:val="6CE89D7E"/>
    <w:lvl w:ilvl="0">
      <w:start w:val="4"/>
      <w:numFmt w:val="decimal"/>
      <w:lvlText w:val="%1"/>
      <w:lvlJc w:val="left"/>
      <w:pPr>
        <w:ind w:left="48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9" w15:restartNumberingAfterBreak="0">
    <w:nsid w:val="38AC579F"/>
    <w:multiLevelType w:val="multilevel"/>
    <w:tmpl w:val="85A44D4C"/>
    <w:lvl w:ilvl="0">
      <w:start w:val="2"/>
      <w:numFmt w:val="decimal"/>
      <w:lvlText w:val="%1"/>
      <w:lvlJc w:val="left"/>
      <w:pPr>
        <w:ind w:left="46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10" w15:restartNumberingAfterBreak="0">
    <w:nsid w:val="419D5508"/>
    <w:multiLevelType w:val="hybridMultilevel"/>
    <w:tmpl w:val="B5B0AD14"/>
    <w:lvl w:ilvl="0" w:tplc="77765886">
      <w:start w:val="1"/>
      <w:numFmt w:val="bullet"/>
      <w:lvlText w:val=""/>
      <w:lvlJc w:val="left"/>
      <w:pPr>
        <w:ind w:left="110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A2CAD012">
      <w:start w:val="1"/>
      <w:numFmt w:val="bullet"/>
      <w:lvlText w:val="•"/>
      <w:lvlJc w:val="left"/>
      <w:pPr>
        <w:ind w:left="1968" w:hanging="361"/>
      </w:pPr>
      <w:rPr>
        <w:rFonts w:hint="default"/>
      </w:rPr>
    </w:lvl>
    <w:lvl w:ilvl="2" w:tplc="B9C0783E">
      <w:start w:val="1"/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6A163E68">
      <w:start w:val="1"/>
      <w:numFmt w:val="bullet"/>
      <w:lvlText w:val="•"/>
      <w:lvlJc w:val="left"/>
      <w:pPr>
        <w:ind w:left="3704" w:hanging="361"/>
      </w:pPr>
      <w:rPr>
        <w:rFonts w:hint="default"/>
      </w:rPr>
    </w:lvl>
    <w:lvl w:ilvl="4" w:tplc="7FC04EF2">
      <w:start w:val="1"/>
      <w:numFmt w:val="bullet"/>
      <w:lvlText w:val="•"/>
      <w:lvlJc w:val="left"/>
      <w:pPr>
        <w:ind w:left="4572" w:hanging="361"/>
      </w:pPr>
      <w:rPr>
        <w:rFonts w:hint="default"/>
      </w:rPr>
    </w:lvl>
    <w:lvl w:ilvl="5" w:tplc="2D06BBBC">
      <w:start w:val="1"/>
      <w:numFmt w:val="bullet"/>
      <w:lvlText w:val="•"/>
      <w:lvlJc w:val="left"/>
      <w:pPr>
        <w:ind w:left="5440" w:hanging="361"/>
      </w:pPr>
      <w:rPr>
        <w:rFonts w:hint="default"/>
      </w:rPr>
    </w:lvl>
    <w:lvl w:ilvl="6" w:tplc="8F0E6E4E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 w:tplc="07D0F1C4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70B65E04">
      <w:start w:val="1"/>
      <w:numFmt w:val="bullet"/>
      <w:lvlText w:val="•"/>
      <w:lvlJc w:val="left"/>
      <w:pPr>
        <w:ind w:left="8044" w:hanging="361"/>
      </w:pPr>
      <w:rPr>
        <w:rFonts w:hint="default"/>
      </w:rPr>
    </w:lvl>
  </w:abstractNum>
  <w:abstractNum w:abstractNumId="11" w15:restartNumberingAfterBreak="0">
    <w:nsid w:val="43D2177D"/>
    <w:multiLevelType w:val="multilevel"/>
    <w:tmpl w:val="EFA66032"/>
    <w:lvl w:ilvl="0">
      <w:start w:val="1"/>
      <w:numFmt w:val="decimal"/>
      <w:lvlText w:val="%1"/>
      <w:lvlJc w:val="left"/>
      <w:pPr>
        <w:ind w:left="480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2" w15:restartNumberingAfterBreak="0">
    <w:nsid w:val="4C504EC8"/>
    <w:multiLevelType w:val="multilevel"/>
    <w:tmpl w:val="D76A7456"/>
    <w:lvl w:ilvl="0">
      <w:start w:val="3"/>
      <w:numFmt w:val="decimal"/>
      <w:lvlText w:val="%1"/>
      <w:lvlJc w:val="left"/>
      <w:pPr>
        <w:ind w:left="892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43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>
      <w:start w:val="1"/>
      <w:numFmt w:val="bullet"/>
      <w:lvlText w:val=""/>
      <w:lvlJc w:val="left"/>
      <w:pPr>
        <w:ind w:left="2020"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3" w15:restartNumberingAfterBreak="0">
    <w:nsid w:val="5DCA5255"/>
    <w:multiLevelType w:val="hybridMultilevel"/>
    <w:tmpl w:val="BB982F52"/>
    <w:lvl w:ilvl="0" w:tplc="CC880478">
      <w:start w:val="4"/>
      <w:numFmt w:val="upperLetter"/>
      <w:lvlText w:val="%1."/>
      <w:lvlJc w:val="left"/>
      <w:pPr>
        <w:ind w:left="552" w:hanging="343"/>
      </w:pPr>
      <w:rPr>
        <w:rFonts w:ascii="Times New Roman" w:eastAsia="Times New Roman" w:hAnsi="Times New Roman" w:hint="default"/>
        <w:b/>
        <w:bCs/>
        <w:color w:val="050505"/>
        <w:w w:val="102"/>
        <w:sz w:val="22"/>
        <w:szCs w:val="22"/>
      </w:rPr>
    </w:lvl>
    <w:lvl w:ilvl="1" w:tplc="C43CB950">
      <w:start w:val="1"/>
      <w:numFmt w:val="bullet"/>
      <w:lvlText w:val="•"/>
      <w:lvlJc w:val="left"/>
      <w:pPr>
        <w:ind w:left="850" w:hanging="326"/>
      </w:pPr>
      <w:rPr>
        <w:rFonts w:ascii="Times New Roman" w:eastAsia="Times New Roman" w:hAnsi="Times New Roman" w:hint="default"/>
        <w:color w:val="050505"/>
        <w:w w:val="131"/>
        <w:sz w:val="22"/>
        <w:szCs w:val="22"/>
      </w:rPr>
    </w:lvl>
    <w:lvl w:ilvl="2" w:tplc="E41A7162">
      <w:start w:val="1"/>
      <w:numFmt w:val="bullet"/>
      <w:lvlText w:val="•"/>
      <w:lvlJc w:val="left"/>
      <w:pPr>
        <w:ind w:left="1185" w:hanging="341"/>
      </w:pPr>
      <w:rPr>
        <w:rFonts w:ascii="Times New Roman" w:eastAsia="Times New Roman" w:hAnsi="Times New Roman" w:hint="default"/>
        <w:color w:val="030303"/>
        <w:w w:val="132"/>
        <w:sz w:val="22"/>
        <w:szCs w:val="22"/>
      </w:rPr>
    </w:lvl>
    <w:lvl w:ilvl="3" w:tplc="22D6C572">
      <w:start w:val="1"/>
      <w:numFmt w:val="bullet"/>
      <w:lvlText w:val="•"/>
      <w:lvlJc w:val="left"/>
      <w:pPr>
        <w:ind w:left="2137" w:hanging="341"/>
      </w:pPr>
      <w:rPr>
        <w:rFonts w:hint="default"/>
      </w:rPr>
    </w:lvl>
    <w:lvl w:ilvl="4" w:tplc="5F4C5146">
      <w:start w:val="1"/>
      <w:numFmt w:val="bullet"/>
      <w:lvlText w:val="•"/>
      <w:lvlJc w:val="left"/>
      <w:pPr>
        <w:ind w:left="3089" w:hanging="341"/>
      </w:pPr>
      <w:rPr>
        <w:rFonts w:hint="default"/>
      </w:rPr>
    </w:lvl>
    <w:lvl w:ilvl="5" w:tplc="5B82067E">
      <w:start w:val="1"/>
      <w:numFmt w:val="bullet"/>
      <w:lvlText w:val="•"/>
      <w:lvlJc w:val="left"/>
      <w:pPr>
        <w:ind w:left="4041" w:hanging="341"/>
      </w:pPr>
      <w:rPr>
        <w:rFonts w:hint="default"/>
      </w:rPr>
    </w:lvl>
    <w:lvl w:ilvl="6" w:tplc="7F16F4A2">
      <w:start w:val="1"/>
      <w:numFmt w:val="bullet"/>
      <w:lvlText w:val="•"/>
      <w:lvlJc w:val="left"/>
      <w:pPr>
        <w:ind w:left="4992" w:hanging="341"/>
      </w:pPr>
      <w:rPr>
        <w:rFonts w:hint="default"/>
      </w:rPr>
    </w:lvl>
    <w:lvl w:ilvl="7" w:tplc="8946A84C">
      <w:start w:val="1"/>
      <w:numFmt w:val="bullet"/>
      <w:lvlText w:val="•"/>
      <w:lvlJc w:val="left"/>
      <w:pPr>
        <w:ind w:left="5944" w:hanging="341"/>
      </w:pPr>
      <w:rPr>
        <w:rFonts w:hint="default"/>
      </w:rPr>
    </w:lvl>
    <w:lvl w:ilvl="8" w:tplc="D73EF5A0">
      <w:start w:val="1"/>
      <w:numFmt w:val="bullet"/>
      <w:lvlText w:val="•"/>
      <w:lvlJc w:val="left"/>
      <w:pPr>
        <w:ind w:left="6896" w:hanging="341"/>
      </w:pPr>
      <w:rPr>
        <w:rFonts w:hint="default"/>
      </w:rPr>
    </w:lvl>
  </w:abstractNum>
  <w:abstractNum w:abstractNumId="14" w15:restartNumberingAfterBreak="0">
    <w:nsid w:val="627C68FA"/>
    <w:multiLevelType w:val="hybridMultilevel"/>
    <w:tmpl w:val="39E46532"/>
    <w:lvl w:ilvl="0" w:tplc="C63C9D40">
      <w:start w:val="1"/>
      <w:numFmt w:val="bullet"/>
      <w:lvlText w:val="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25AE0436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D09810C6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BA84F2FC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369C6BD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8F8AC14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2D3A844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B606AF68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A914EC9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5" w15:restartNumberingAfterBreak="0">
    <w:nsid w:val="66330373"/>
    <w:multiLevelType w:val="multilevel"/>
    <w:tmpl w:val="9B78E092"/>
    <w:lvl w:ilvl="0">
      <w:start w:val="2"/>
      <w:numFmt w:val="decimal"/>
      <w:lvlText w:val="%1"/>
      <w:lvlJc w:val="left"/>
      <w:pPr>
        <w:ind w:left="460" w:hanging="5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5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0" w:hanging="54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358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541"/>
      </w:pPr>
      <w:rPr>
        <w:rFonts w:hint="default"/>
      </w:rPr>
    </w:lvl>
  </w:abstractNum>
  <w:abstractNum w:abstractNumId="16" w15:restartNumberingAfterBreak="0">
    <w:nsid w:val="69D73CF4"/>
    <w:multiLevelType w:val="multilevel"/>
    <w:tmpl w:val="D078267C"/>
    <w:lvl w:ilvl="0">
      <w:start w:val="2"/>
      <w:numFmt w:val="decimal"/>
      <w:lvlText w:val="%1"/>
      <w:lvlJc w:val="left"/>
      <w:pPr>
        <w:ind w:left="892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43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left="118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17" w15:restartNumberingAfterBreak="0">
    <w:nsid w:val="6BB12F4A"/>
    <w:multiLevelType w:val="hybridMultilevel"/>
    <w:tmpl w:val="E41EE688"/>
    <w:lvl w:ilvl="0" w:tplc="A14A1D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05120"/>
    <w:multiLevelType w:val="hybridMultilevel"/>
    <w:tmpl w:val="B9E624D4"/>
    <w:lvl w:ilvl="0" w:tplc="8B303A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12512">
    <w:abstractNumId w:val="0"/>
  </w:num>
  <w:num w:numId="2" w16cid:durableId="1234970450">
    <w:abstractNumId w:val="8"/>
  </w:num>
  <w:num w:numId="3" w16cid:durableId="800340359">
    <w:abstractNumId w:val="12"/>
  </w:num>
  <w:num w:numId="4" w16cid:durableId="823813619">
    <w:abstractNumId w:val="15"/>
  </w:num>
  <w:num w:numId="5" w16cid:durableId="1253079187">
    <w:abstractNumId w:val="16"/>
  </w:num>
  <w:num w:numId="6" w16cid:durableId="683822887">
    <w:abstractNumId w:val="9"/>
  </w:num>
  <w:num w:numId="7" w16cid:durableId="1174958716">
    <w:abstractNumId w:val="14"/>
  </w:num>
  <w:num w:numId="8" w16cid:durableId="1460341310">
    <w:abstractNumId w:val="6"/>
  </w:num>
  <w:num w:numId="9" w16cid:durableId="1165707926">
    <w:abstractNumId w:val="11"/>
  </w:num>
  <w:num w:numId="10" w16cid:durableId="363404621">
    <w:abstractNumId w:val="1"/>
  </w:num>
  <w:num w:numId="11" w16cid:durableId="1497182470">
    <w:abstractNumId w:val="3"/>
  </w:num>
  <w:num w:numId="12" w16cid:durableId="43330606">
    <w:abstractNumId w:val="10"/>
  </w:num>
  <w:num w:numId="13" w16cid:durableId="1223325355">
    <w:abstractNumId w:val="2"/>
  </w:num>
  <w:num w:numId="14" w16cid:durableId="466822698">
    <w:abstractNumId w:val="5"/>
  </w:num>
  <w:num w:numId="15" w16cid:durableId="68700429">
    <w:abstractNumId w:val="17"/>
  </w:num>
  <w:num w:numId="16" w16cid:durableId="390620536">
    <w:abstractNumId w:val="13"/>
  </w:num>
  <w:num w:numId="17" w16cid:durableId="187065387">
    <w:abstractNumId w:val="4"/>
  </w:num>
  <w:num w:numId="18" w16cid:durableId="1853686896">
    <w:abstractNumId w:val="7"/>
  </w:num>
  <w:num w:numId="19" w16cid:durableId="12579102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EE"/>
    <w:rsid w:val="0000145D"/>
    <w:rsid w:val="000F7A26"/>
    <w:rsid w:val="00112BA5"/>
    <w:rsid w:val="001650D1"/>
    <w:rsid w:val="00165ECE"/>
    <w:rsid w:val="00175B6C"/>
    <w:rsid w:val="001E50D4"/>
    <w:rsid w:val="001F5526"/>
    <w:rsid w:val="002C03D4"/>
    <w:rsid w:val="0031242D"/>
    <w:rsid w:val="00317A69"/>
    <w:rsid w:val="00337FC5"/>
    <w:rsid w:val="00394827"/>
    <w:rsid w:val="003B710F"/>
    <w:rsid w:val="003C7564"/>
    <w:rsid w:val="00424BB9"/>
    <w:rsid w:val="004359D3"/>
    <w:rsid w:val="00440B7A"/>
    <w:rsid w:val="00491419"/>
    <w:rsid w:val="004C33A2"/>
    <w:rsid w:val="004D5DB5"/>
    <w:rsid w:val="004D743A"/>
    <w:rsid w:val="004E3415"/>
    <w:rsid w:val="00510B42"/>
    <w:rsid w:val="005407CF"/>
    <w:rsid w:val="005523D4"/>
    <w:rsid w:val="0055740A"/>
    <w:rsid w:val="0056508E"/>
    <w:rsid w:val="005738B8"/>
    <w:rsid w:val="00574FFA"/>
    <w:rsid w:val="005D3700"/>
    <w:rsid w:val="005D3ADA"/>
    <w:rsid w:val="005D5C4C"/>
    <w:rsid w:val="006274B9"/>
    <w:rsid w:val="00642CC5"/>
    <w:rsid w:val="006D1A1C"/>
    <w:rsid w:val="006E74E2"/>
    <w:rsid w:val="007228EE"/>
    <w:rsid w:val="007612FA"/>
    <w:rsid w:val="00763296"/>
    <w:rsid w:val="007732D1"/>
    <w:rsid w:val="007E3FE8"/>
    <w:rsid w:val="00803D6D"/>
    <w:rsid w:val="0081368C"/>
    <w:rsid w:val="0082787C"/>
    <w:rsid w:val="00847F0B"/>
    <w:rsid w:val="00876877"/>
    <w:rsid w:val="00883B8D"/>
    <w:rsid w:val="008A4894"/>
    <w:rsid w:val="008B358E"/>
    <w:rsid w:val="008E76F8"/>
    <w:rsid w:val="008F3CF9"/>
    <w:rsid w:val="008F5429"/>
    <w:rsid w:val="009056AF"/>
    <w:rsid w:val="00923BA2"/>
    <w:rsid w:val="00980ABB"/>
    <w:rsid w:val="00986963"/>
    <w:rsid w:val="009F6013"/>
    <w:rsid w:val="00A35ADB"/>
    <w:rsid w:val="00A67D8B"/>
    <w:rsid w:val="00A76987"/>
    <w:rsid w:val="00A7739E"/>
    <w:rsid w:val="00AD4542"/>
    <w:rsid w:val="00B31891"/>
    <w:rsid w:val="00B53AE3"/>
    <w:rsid w:val="00B650C3"/>
    <w:rsid w:val="00B653DE"/>
    <w:rsid w:val="00BA0A0E"/>
    <w:rsid w:val="00BD69E6"/>
    <w:rsid w:val="00C02419"/>
    <w:rsid w:val="00C529C8"/>
    <w:rsid w:val="00C54601"/>
    <w:rsid w:val="00C64228"/>
    <w:rsid w:val="00C665D4"/>
    <w:rsid w:val="00CA61D0"/>
    <w:rsid w:val="00CC204E"/>
    <w:rsid w:val="00D44DA8"/>
    <w:rsid w:val="00D97DAD"/>
    <w:rsid w:val="00DA38CB"/>
    <w:rsid w:val="00DB7486"/>
    <w:rsid w:val="00DC06F0"/>
    <w:rsid w:val="00DC0D45"/>
    <w:rsid w:val="00E02A26"/>
    <w:rsid w:val="00E047D7"/>
    <w:rsid w:val="00E16AA9"/>
    <w:rsid w:val="00E45B80"/>
    <w:rsid w:val="00E474B0"/>
    <w:rsid w:val="00F00CC5"/>
    <w:rsid w:val="00F10D2C"/>
    <w:rsid w:val="00F12E26"/>
    <w:rsid w:val="00F20383"/>
    <w:rsid w:val="00F56440"/>
    <w:rsid w:val="00F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89354"/>
  <w15:docId w15:val="{32ADA645-0711-4C67-AFE0-FDDAC53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2" w:hanging="43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526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4B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5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74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7CF"/>
  </w:style>
  <w:style w:type="paragraph" w:styleId="Footer">
    <w:name w:val="footer"/>
    <w:basedOn w:val="Normal"/>
    <w:link w:val="FooterChar"/>
    <w:uiPriority w:val="99"/>
    <w:unhideWhenUsed/>
    <w:rsid w:val="0054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7CF"/>
  </w:style>
  <w:style w:type="paragraph" w:styleId="BalloonText">
    <w:name w:val="Balloon Text"/>
    <w:basedOn w:val="Normal"/>
    <w:link w:val="BalloonTextChar"/>
    <w:uiPriority w:val="99"/>
    <w:semiHidden/>
    <w:unhideWhenUsed/>
    <w:rsid w:val="00763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2E26"/>
    <w:pPr>
      <w:widowControl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w.cornell.edu/cfr/text/2/part-2900" TargetMode="External"/><Relationship Id="rId18" Type="http://schemas.openxmlformats.org/officeDocument/2006/relationships/hyperlink" Target="mailto:Kay.Tracy@state.mn.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law.cornell.edu/cfr/text/2/part-200" TargetMode="External"/><Relationship Id="rId17" Type="http://schemas.openxmlformats.org/officeDocument/2006/relationships/hyperlink" Target="https://www.dol.gov/agencies/eta/advisories/tegl-09-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dr.doleta.gov/directives/corr_doc.cfm?DOCN=6073" TargetMode="External"/><Relationship Id="rId20" Type="http://schemas.openxmlformats.org/officeDocument/2006/relationships/hyperlink" Target="http://mn.gov/deed/programs-services/office-youth-development/index.j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po.gov/fdsys/pkg/FR-2016-08-19/pdf/2016-1597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dr.doleta.gov/directives/corr_doc.cfm?DOCN=42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po.gov/fdsys/pkg/PLAW-113publ128/html/PLAW-113publ128.htm" TargetMode="External"/><Relationship Id="rId19" Type="http://schemas.openxmlformats.org/officeDocument/2006/relationships/hyperlink" Target="mailto:John.R.Olson@state.m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leta.gov/grants/pdf/2018_Core_Monitoring_Guid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BC33E-61CA-4022-B61C-342C30080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C9FFD-91E9-4D4F-863C-C5D868C7B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251E2B-6126-4D9D-B696-F14422D5B3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Full WIA Admin Manual - 3-27-15</vt:lpstr>
    </vt:vector>
  </TitlesOfParts>
  <Company>DEED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 WIA Admin Manual - 3-27-15</dc:title>
  <dc:creator>jrolson</dc:creator>
  <cp:lastModifiedBy>Olson, John R (DEED)</cp:lastModifiedBy>
  <cp:revision>5</cp:revision>
  <cp:lastPrinted>2018-05-16T15:25:00Z</cp:lastPrinted>
  <dcterms:created xsi:type="dcterms:W3CDTF">2023-04-05T15:33:00Z</dcterms:created>
  <dcterms:modified xsi:type="dcterms:W3CDTF">2023-04-05T15:33:00Z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2017-03-13T00:00:00Z</vt:filetime>
  </property>
</Properties>
</file>