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C79B" w14:textId="77777777" w:rsidR="00E00039" w:rsidRPr="00E00039" w:rsidRDefault="00E00039" w:rsidP="00E000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00039">
        <w:rPr>
          <w:rFonts w:ascii="Times New Roman" w:eastAsia="Times New Roman" w:hAnsi="Times New Roman" w:cs="Times New Roman"/>
          <w:b/>
          <w:bCs/>
          <w:kern w:val="36"/>
          <w:sz w:val="48"/>
          <w:szCs w:val="48"/>
          <w:lang w:val="en"/>
        </w:rPr>
        <w:t>WI</w:t>
      </w:r>
      <w:r>
        <w:rPr>
          <w:rFonts w:ascii="Times New Roman" w:eastAsia="Times New Roman" w:hAnsi="Times New Roman" w:cs="Times New Roman"/>
          <w:b/>
          <w:bCs/>
          <w:kern w:val="36"/>
          <w:sz w:val="48"/>
          <w:szCs w:val="48"/>
          <w:lang w:val="en"/>
        </w:rPr>
        <w:t>O</w:t>
      </w:r>
      <w:r w:rsidRPr="00E00039">
        <w:rPr>
          <w:rFonts w:ascii="Times New Roman" w:eastAsia="Times New Roman" w:hAnsi="Times New Roman" w:cs="Times New Roman"/>
          <w:b/>
          <w:bCs/>
          <w:kern w:val="36"/>
          <w:sz w:val="48"/>
          <w:szCs w:val="48"/>
          <w:lang w:val="en"/>
        </w:rPr>
        <w:t xml:space="preserve">A </w:t>
      </w:r>
      <w:r w:rsidR="00685B18">
        <w:rPr>
          <w:rFonts w:ascii="Times New Roman" w:eastAsia="Times New Roman" w:hAnsi="Times New Roman" w:cs="Times New Roman"/>
          <w:b/>
          <w:bCs/>
          <w:kern w:val="36"/>
          <w:sz w:val="48"/>
          <w:szCs w:val="48"/>
          <w:lang w:val="en"/>
        </w:rPr>
        <w:t>Young Adult Program</w:t>
      </w:r>
    </w:p>
    <w:p w14:paraId="37CF625F" w14:textId="77777777" w:rsidR="00E00039" w:rsidRPr="00E00039" w:rsidRDefault="00E00039" w:rsidP="00E000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00039">
        <w:rPr>
          <w:rFonts w:ascii="Times New Roman" w:eastAsia="Times New Roman" w:hAnsi="Times New Roman" w:cs="Times New Roman"/>
          <w:b/>
          <w:bCs/>
          <w:sz w:val="27"/>
          <w:szCs w:val="27"/>
          <w:lang w:val="en"/>
        </w:rPr>
        <w:t>Chapter 0</w:t>
      </w:r>
      <w:r w:rsidR="00D72458">
        <w:rPr>
          <w:rFonts w:ascii="Times New Roman" w:eastAsia="Times New Roman" w:hAnsi="Times New Roman" w:cs="Times New Roman"/>
          <w:b/>
          <w:bCs/>
          <w:sz w:val="27"/>
          <w:szCs w:val="27"/>
          <w:lang w:val="en"/>
        </w:rPr>
        <w:t>7</w:t>
      </w:r>
      <w:r w:rsidRPr="00E00039">
        <w:rPr>
          <w:rFonts w:ascii="Times New Roman" w:eastAsia="Times New Roman" w:hAnsi="Times New Roman" w:cs="Times New Roman"/>
          <w:b/>
          <w:bCs/>
          <w:sz w:val="27"/>
          <w:szCs w:val="27"/>
          <w:lang w:val="en"/>
        </w:rPr>
        <w:t xml:space="preserve">: </w:t>
      </w:r>
      <w:r w:rsidR="00D72458">
        <w:rPr>
          <w:rFonts w:ascii="Times New Roman" w:eastAsia="Times New Roman" w:hAnsi="Times New Roman" w:cs="Times New Roman"/>
          <w:b/>
          <w:bCs/>
          <w:sz w:val="27"/>
          <w:szCs w:val="27"/>
          <w:lang w:val="en"/>
        </w:rPr>
        <w:t>WIOA Youth Participant Income Table</w:t>
      </w:r>
    </w:p>
    <w:p w14:paraId="29FDA0EB" w14:textId="2321774D" w:rsidR="00E00039" w:rsidRDefault="00E00039" w:rsidP="00E00039">
      <w:pPr>
        <w:spacing w:before="100" w:beforeAutospacing="1" w:after="100" w:afterAutospacing="1" w:line="240" w:lineRule="auto"/>
        <w:rPr>
          <w:rFonts w:ascii="Times New Roman" w:hAnsi="Times New Roman" w:cs="Times New Roman"/>
          <w:sz w:val="24"/>
          <w:szCs w:val="24"/>
        </w:rPr>
      </w:pPr>
      <w:r w:rsidRPr="00E00039">
        <w:rPr>
          <w:rFonts w:ascii="Times New Roman" w:eastAsia="Times New Roman" w:hAnsi="Times New Roman" w:cs="Times New Roman"/>
          <w:sz w:val="24"/>
          <w:szCs w:val="24"/>
          <w:lang w:val="en"/>
        </w:rPr>
        <w:t xml:space="preserve">Summary </w:t>
      </w:r>
      <w:r w:rsidRPr="00E00039">
        <w:rPr>
          <w:rFonts w:ascii="Times New Roman" w:eastAsia="Times New Roman" w:hAnsi="Times New Roman" w:cs="Times New Roman"/>
          <w:sz w:val="24"/>
          <w:szCs w:val="24"/>
          <w:lang w:val="en"/>
        </w:rPr>
        <w:br/>
      </w:r>
      <w:r w:rsidR="00D72458" w:rsidRPr="00D72458">
        <w:rPr>
          <w:rFonts w:ascii="Times New Roman" w:hAnsi="Times New Roman" w:cs="Times New Roman"/>
          <w:sz w:val="24"/>
          <w:szCs w:val="24"/>
        </w:rPr>
        <w:t xml:space="preserve">The </w:t>
      </w:r>
      <w:r w:rsidR="00C14AC7">
        <w:rPr>
          <w:rFonts w:ascii="Times New Roman" w:hAnsi="Times New Roman" w:cs="Times New Roman"/>
          <w:sz w:val="24"/>
          <w:szCs w:val="24"/>
        </w:rPr>
        <w:t xml:space="preserve">Youth </w:t>
      </w:r>
      <w:r w:rsidR="00D72458" w:rsidRPr="00D72458">
        <w:rPr>
          <w:rFonts w:ascii="Times New Roman" w:hAnsi="Times New Roman" w:cs="Times New Roman"/>
          <w:sz w:val="24"/>
          <w:szCs w:val="24"/>
        </w:rPr>
        <w:t>Participant Income Table provides information on the poverty level and the Lower Living Standard Income Level (LLSIL).  These two standards are to be used to determine income eligibility for the WI</w:t>
      </w:r>
      <w:r w:rsidR="00D72458">
        <w:rPr>
          <w:rFonts w:ascii="Times New Roman" w:hAnsi="Times New Roman" w:cs="Times New Roman"/>
          <w:sz w:val="24"/>
          <w:szCs w:val="24"/>
        </w:rPr>
        <w:t>O</w:t>
      </w:r>
      <w:r w:rsidR="00C14AC7">
        <w:rPr>
          <w:rFonts w:ascii="Times New Roman" w:hAnsi="Times New Roman" w:cs="Times New Roman"/>
          <w:sz w:val="24"/>
          <w:szCs w:val="24"/>
        </w:rPr>
        <w:t>A Youth</w:t>
      </w:r>
      <w:r w:rsidR="00D72458" w:rsidRPr="00D72458">
        <w:rPr>
          <w:rFonts w:ascii="Times New Roman" w:hAnsi="Times New Roman" w:cs="Times New Roman"/>
          <w:sz w:val="24"/>
          <w:szCs w:val="24"/>
        </w:rPr>
        <w:t xml:space="preserve"> Program based on the size of family and geographical area.</w:t>
      </w:r>
    </w:p>
    <w:p w14:paraId="55EA77D9" w14:textId="1CC5B54D" w:rsidR="00D173B4" w:rsidRPr="00D173B4" w:rsidRDefault="00D173B4" w:rsidP="00E00039">
      <w:pPr>
        <w:spacing w:before="100" w:beforeAutospacing="1" w:after="100" w:afterAutospacing="1" w:line="240" w:lineRule="auto"/>
        <w:rPr>
          <w:rFonts w:ascii="Times New Roman" w:eastAsia="Times New Roman" w:hAnsi="Times New Roman" w:cs="Times New Roman"/>
          <w:b/>
          <w:bCs/>
          <w:sz w:val="24"/>
          <w:szCs w:val="24"/>
          <w:lang w:val="en"/>
        </w:rPr>
      </w:pPr>
      <w:r w:rsidRPr="00003E69">
        <w:rPr>
          <w:rFonts w:ascii="Times New Roman" w:hAnsi="Times New Roman" w:cs="Times New Roman"/>
          <w:b/>
          <w:bCs/>
          <w:sz w:val="24"/>
          <w:szCs w:val="24"/>
        </w:rPr>
        <w:t xml:space="preserve">IMPORTANT NOTE: The number of Minnesota counties that are now considered part of a Metropolitan Statistical Area (MSA) within Minnesota has expanded. Please </w:t>
      </w:r>
      <w:r w:rsidR="00A236F3" w:rsidRPr="00003E69">
        <w:rPr>
          <w:rFonts w:ascii="Times New Roman" w:hAnsi="Times New Roman" w:cs="Times New Roman"/>
          <w:b/>
          <w:bCs/>
          <w:sz w:val="24"/>
          <w:szCs w:val="24"/>
        </w:rPr>
        <w:t xml:space="preserve">carefully </w:t>
      </w:r>
      <w:r w:rsidRPr="00003E69">
        <w:rPr>
          <w:rFonts w:ascii="Times New Roman" w:hAnsi="Times New Roman" w:cs="Times New Roman"/>
          <w:b/>
          <w:bCs/>
          <w:sz w:val="24"/>
          <w:szCs w:val="24"/>
        </w:rPr>
        <w:t>check the footnotes at the bottom of the next page.</w:t>
      </w:r>
    </w:p>
    <w:p w14:paraId="02131903" w14:textId="77777777" w:rsidR="00685B18" w:rsidRDefault="00E00039" w:rsidP="00685B18">
      <w:pPr>
        <w:pStyle w:val="BodyText"/>
        <w:ind w:right="-90"/>
      </w:pPr>
      <w:r w:rsidRPr="00E00039">
        <w:rPr>
          <w:lang w:val="en"/>
        </w:rPr>
        <w:t xml:space="preserve">Relevant Laws, Rules, or Policies </w:t>
      </w:r>
      <w:r w:rsidRPr="00E00039">
        <w:rPr>
          <w:lang w:val="en"/>
        </w:rPr>
        <w:br/>
      </w:r>
      <w:hyperlink r:id="rId10" w:history="1">
        <w:r w:rsidR="001B3A48" w:rsidRPr="00CD68E2">
          <w:rPr>
            <w:rStyle w:val="Hyperlink"/>
            <w:u w:color="0000FF"/>
          </w:rPr>
          <w:t>Workforce Innovation and Opportunity Act (Public Law</w:t>
        </w:r>
        <w:r w:rsidR="00685B18" w:rsidRPr="00CD68E2">
          <w:rPr>
            <w:rStyle w:val="Hyperlink"/>
            <w:spacing w:val="-22"/>
            <w:u w:color="0000FF"/>
          </w:rPr>
          <w:t xml:space="preserve"> </w:t>
        </w:r>
        <w:r w:rsidR="001B3A48" w:rsidRPr="00CD68E2">
          <w:rPr>
            <w:rStyle w:val="Hyperlink"/>
            <w:u w:color="0000FF"/>
          </w:rPr>
          <w:t>113-128)</w:t>
        </w:r>
      </w:hyperlink>
    </w:p>
    <w:p w14:paraId="31B34010" w14:textId="77777777" w:rsidR="001B3A48" w:rsidRPr="00CB5AE4" w:rsidRDefault="00017EB5" w:rsidP="00685B18">
      <w:pPr>
        <w:pStyle w:val="BodyText"/>
        <w:ind w:right="-90"/>
      </w:pPr>
      <w:hyperlink r:id="rId11" w:history="1">
        <w:r w:rsidR="001B3A48" w:rsidRPr="00CD68E2">
          <w:rPr>
            <w:rStyle w:val="Hyperlink"/>
            <w:u w:color="0000FF"/>
          </w:rPr>
          <w:t>WIOA Final Rule: DOL (Dated</w:t>
        </w:r>
        <w:r w:rsidR="001B3A48" w:rsidRPr="00CD68E2">
          <w:rPr>
            <w:rStyle w:val="Hyperlink"/>
            <w:spacing w:val="2"/>
            <w:u w:color="0000FF"/>
          </w:rPr>
          <w:t xml:space="preserve"> </w:t>
        </w:r>
        <w:r w:rsidR="001B3A48" w:rsidRPr="00CD68E2">
          <w:rPr>
            <w:rStyle w:val="Hyperlink"/>
            <w:u w:color="0000FF"/>
          </w:rPr>
          <w:t>08-19-2016)</w:t>
        </w:r>
      </w:hyperlink>
    </w:p>
    <w:p w14:paraId="44AD7397" w14:textId="77777777" w:rsidR="001B3A48" w:rsidRPr="00CB5AE4" w:rsidRDefault="00017EB5" w:rsidP="001B3A48">
      <w:pPr>
        <w:pStyle w:val="BodyText"/>
        <w:ind w:right="257"/>
        <w:rPr>
          <w:u w:color="0000FF"/>
        </w:rPr>
      </w:pPr>
      <w:hyperlink r:id="rId12" w:history="1">
        <w:r w:rsidR="001B3A48" w:rsidRPr="00CD68E2">
          <w:rPr>
            <w:rStyle w:val="Hyperlink"/>
            <w:u w:color="0000FF"/>
          </w:rPr>
          <w:t>WIOA Final Rule: Unified and Combined State Plans, Performance Accountability, and the One-Stop System Joint Provisions (Dated 08-19-2016)</w:t>
        </w:r>
      </w:hyperlink>
    </w:p>
    <w:p w14:paraId="4D38472A" w14:textId="77777777" w:rsidR="001B3A48" w:rsidRDefault="00017EB5" w:rsidP="001B3A48">
      <w:pPr>
        <w:pStyle w:val="BodyText"/>
        <w:ind w:right="257"/>
        <w:rPr>
          <w:u w:color="0000FF"/>
        </w:rPr>
      </w:pPr>
      <w:hyperlink r:id="rId13" w:history="1">
        <w:r w:rsidR="001B3A48" w:rsidRPr="005A1EF4">
          <w:rPr>
            <w:rStyle w:val="Hyperlink"/>
            <w:u w:color="0000FF"/>
          </w:rPr>
          <w:t>U.S. Dept. of Labor Training and Employment Guidance Letter No. 23-14 (Dated 3-26-15)</w:t>
        </w:r>
      </w:hyperlink>
    </w:p>
    <w:p w14:paraId="030EF1E6" w14:textId="2B0A9C93" w:rsidR="001B3A48" w:rsidRDefault="00017EB5" w:rsidP="001B3A48">
      <w:pPr>
        <w:pStyle w:val="BodyText"/>
        <w:ind w:right="257"/>
        <w:rPr>
          <w:rStyle w:val="Hyperlink"/>
          <w:u w:color="0066FF"/>
        </w:rPr>
      </w:pPr>
      <w:hyperlink r:id="rId14" w:history="1">
        <w:r w:rsidR="001B3A48" w:rsidRPr="005A1EF4">
          <w:rPr>
            <w:rStyle w:val="Hyperlink"/>
            <w:u w:color="0000FF"/>
          </w:rPr>
          <w:t>U.S. Dept. of Labor Training and Employment Guidance Letter No.  8-15 (Dated 11-17-15)</w:t>
        </w:r>
      </w:hyperlink>
      <w:r w:rsidR="001B3A48" w:rsidRPr="00CB5AE4">
        <w:rPr>
          <w:u w:color="FF0000"/>
        </w:rPr>
        <w:t xml:space="preserve"> </w:t>
      </w:r>
    </w:p>
    <w:p w14:paraId="78ED2196" w14:textId="2490FFBB" w:rsidR="00E42304" w:rsidRDefault="00017EB5" w:rsidP="001B3A48">
      <w:pPr>
        <w:pStyle w:val="BodyText"/>
        <w:ind w:right="257"/>
      </w:pPr>
      <w:hyperlink r:id="rId15" w:history="1">
        <w:r w:rsidR="00E42304" w:rsidRPr="003A4342">
          <w:rPr>
            <w:rStyle w:val="Hyperlink"/>
          </w:rPr>
          <w:t>U.S. Dept. of Labor Training and Employment Guidance Letter No. 10-16, Change 2 (Dated 9-15-22)</w:t>
        </w:r>
      </w:hyperlink>
    </w:p>
    <w:p w14:paraId="6F62BDA6" w14:textId="77777777" w:rsidR="001B3A48" w:rsidRDefault="00017EB5" w:rsidP="001B3A48">
      <w:pPr>
        <w:pStyle w:val="BodyText"/>
        <w:ind w:right="257"/>
        <w:rPr>
          <w:u w:color="0000FF"/>
        </w:rPr>
      </w:pPr>
      <w:hyperlink r:id="rId16" w:history="1">
        <w:r w:rsidR="001B3A48" w:rsidRPr="005A1EF4">
          <w:rPr>
            <w:rStyle w:val="Hyperlink"/>
            <w:u w:color="0000FF"/>
          </w:rPr>
          <w:t>U.S. Dept. of Labor Training and Employment Guidance Letter No.  21-16 (Dated 3-2-17)</w:t>
        </w:r>
      </w:hyperlink>
      <w:r w:rsidR="001B3A48" w:rsidRPr="00CB5AE4">
        <w:rPr>
          <w:u w:color="0000FF"/>
        </w:rPr>
        <w:t xml:space="preserve"> </w:t>
      </w:r>
    </w:p>
    <w:p w14:paraId="6CE6C028" w14:textId="49A513F7" w:rsidR="003A4342" w:rsidRDefault="003A4342" w:rsidP="007E1D05">
      <w:pPr>
        <w:pStyle w:val="BodyText"/>
        <w:ind w:right="257"/>
        <w:rPr>
          <w:u w:color="0000FF"/>
        </w:rPr>
      </w:pPr>
      <w:r w:rsidRPr="00003E69">
        <w:rPr>
          <w:u w:color="0000FF"/>
        </w:rPr>
        <w:t xml:space="preserve">Web Result: U.S. Dept of Labor 4/26/2023: </w:t>
      </w:r>
      <w:hyperlink r:id="rId17" w:history="1">
        <w:r w:rsidRPr="00003E69">
          <w:rPr>
            <w:rStyle w:val="Hyperlink"/>
          </w:rPr>
          <w:t>https://www.dol.gov/agencies/eta/llsil</w:t>
        </w:r>
      </w:hyperlink>
      <w:r w:rsidRPr="00003E69">
        <w:rPr>
          <w:u w:color="0000FF"/>
        </w:rPr>
        <w:t xml:space="preserve"> (Accessed 4/26/2023)</w:t>
      </w:r>
    </w:p>
    <w:p w14:paraId="47447290" w14:textId="77777777" w:rsidR="00017EB5" w:rsidRDefault="00017EB5" w:rsidP="00017EB5">
      <w:pPr>
        <w:pStyle w:val="BodyText"/>
        <w:ind w:right="257"/>
        <w:rPr>
          <w:u w:color="0000FF"/>
        </w:rPr>
      </w:pPr>
      <w:r w:rsidRPr="00003E69">
        <w:rPr>
          <w:highlight w:val="yellow"/>
          <w:u w:color="0000FF"/>
        </w:rPr>
        <w:t xml:space="preserve">Web Result: U.S. Dept. of Health and Human Services 1/17/2024: </w:t>
      </w:r>
      <w:hyperlink r:id="rId18" w:history="1">
        <w:r w:rsidRPr="00003E69">
          <w:rPr>
            <w:rStyle w:val="Hyperlink"/>
            <w:highlight w:val="yellow"/>
          </w:rPr>
          <w:t>https://aspe.hhs.gov/topics/poverty-e</w:t>
        </w:r>
        <w:r w:rsidRPr="00003E69">
          <w:rPr>
            <w:rStyle w:val="Hyperlink"/>
            <w:highlight w:val="yellow"/>
          </w:rPr>
          <w:t>c</w:t>
        </w:r>
        <w:r w:rsidRPr="00003E69">
          <w:rPr>
            <w:rStyle w:val="Hyperlink"/>
            <w:highlight w:val="yellow"/>
          </w:rPr>
          <w:t>o</w:t>
        </w:r>
        <w:r w:rsidRPr="00003E69">
          <w:rPr>
            <w:rStyle w:val="Hyperlink"/>
            <w:highlight w:val="yellow"/>
          </w:rPr>
          <w:t>nomic-mobility/poverty-guidelines</w:t>
        </w:r>
      </w:hyperlink>
      <w:r w:rsidRPr="00003E69">
        <w:rPr>
          <w:highlight w:val="yellow"/>
          <w:u w:color="0000FF"/>
        </w:rPr>
        <w:t xml:space="preserve"> (Accessed 2/6/202</w:t>
      </w:r>
      <w:r>
        <w:rPr>
          <w:highlight w:val="yellow"/>
          <w:u w:color="0000FF"/>
        </w:rPr>
        <w:t>4</w:t>
      </w:r>
      <w:r w:rsidRPr="00003E69">
        <w:rPr>
          <w:highlight w:val="yellow"/>
          <w:u w:color="0000FF"/>
        </w:rPr>
        <w:t>)</w:t>
      </w:r>
    </w:p>
    <w:p w14:paraId="2B4DD64F" w14:textId="77777777" w:rsidR="007E1D05" w:rsidRDefault="007E1D05" w:rsidP="001B3A48">
      <w:pPr>
        <w:pStyle w:val="BodyText"/>
        <w:ind w:right="257"/>
        <w:rPr>
          <w:u w:color="0000FF"/>
        </w:rPr>
      </w:pPr>
    </w:p>
    <w:p w14:paraId="2C470B43" w14:textId="311F6B47" w:rsidR="00D72458" w:rsidRPr="00D72458" w:rsidRDefault="00D72458" w:rsidP="00E00039">
      <w:pPr>
        <w:spacing w:before="100" w:beforeAutospacing="1" w:after="100" w:afterAutospacing="1" w:line="240" w:lineRule="auto"/>
        <w:rPr>
          <w:rStyle w:val="Hyperlink"/>
          <w:rFonts w:ascii="Times New Roman" w:eastAsia="Times New Roman" w:hAnsi="Times New Roman" w:cs="Times New Roman"/>
          <w:sz w:val="24"/>
          <w:szCs w:val="24"/>
          <w:lang w:val="en"/>
        </w:rPr>
      </w:pPr>
      <w:r w:rsidRPr="00003E69">
        <w:rPr>
          <w:rFonts w:ascii="Times New Roman" w:hAnsi="Times New Roman" w:cs="Times New Roman"/>
          <w:sz w:val="24"/>
          <w:szCs w:val="24"/>
        </w:rPr>
        <w:t xml:space="preserve">Poverty levels and the Lower Living Standard Income Levels are </w:t>
      </w:r>
      <w:r w:rsidR="00A236F3" w:rsidRPr="00003E69">
        <w:rPr>
          <w:rFonts w:ascii="Times New Roman" w:hAnsi="Times New Roman" w:cs="Times New Roman"/>
          <w:sz w:val="24"/>
          <w:szCs w:val="24"/>
        </w:rPr>
        <w:t xml:space="preserve">produced by the U.S. Dept. of Labor and </w:t>
      </w:r>
      <w:r w:rsidRPr="00003E69">
        <w:rPr>
          <w:rFonts w:ascii="Times New Roman" w:hAnsi="Times New Roman" w:cs="Times New Roman"/>
          <w:sz w:val="24"/>
          <w:szCs w:val="24"/>
        </w:rPr>
        <w:t>are effective until they are updated the following year.</w:t>
      </w:r>
      <w:r w:rsidR="00BF45C9" w:rsidRPr="00003E69">
        <w:rPr>
          <w:rFonts w:ascii="Times New Roman" w:hAnsi="Times New Roman" w:cs="Times New Roman"/>
          <w:sz w:val="24"/>
          <w:szCs w:val="24"/>
        </w:rPr>
        <w:t xml:space="preserve"> </w:t>
      </w:r>
      <w:r w:rsidR="00A57090" w:rsidRPr="00003E69">
        <w:rPr>
          <w:rFonts w:ascii="Times New Roman" w:hAnsi="Times New Roman" w:cs="Times New Roman"/>
          <w:sz w:val="24"/>
          <w:szCs w:val="24"/>
        </w:rPr>
        <w:t>Current and h</w:t>
      </w:r>
      <w:r w:rsidR="00BF45C9" w:rsidRPr="00003E69">
        <w:rPr>
          <w:rFonts w:ascii="Times New Roman" w:hAnsi="Times New Roman" w:cs="Times New Roman"/>
          <w:sz w:val="24"/>
          <w:szCs w:val="24"/>
        </w:rPr>
        <w:t xml:space="preserve">istorical data for poverty levels and LLSIL can be found </w:t>
      </w:r>
      <w:r w:rsidR="00A57090" w:rsidRPr="00003E69">
        <w:rPr>
          <w:rFonts w:ascii="Times New Roman" w:hAnsi="Times New Roman" w:cs="Times New Roman"/>
          <w:sz w:val="24"/>
          <w:szCs w:val="24"/>
        </w:rPr>
        <w:t xml:space="preserve">online </w:t>
      </w:r>
      <w:r w:rsidR="00BF45C9" w:rsidRPr="00003E69">
        <w:rPr>
          <w:rFonts w:ascii="Times New Roman" w:hAnsi="Times New Roman" w:cs="Times New Roman"/>
          <w:sz w:val="24"/>
          <w:szCs w:val="24"/>
        </w:rPr>
        <w:t>at</w:t>
      </w:r>
      <w:r w:rsidR="00A57090" w:rsidRPr="00003E69">
        <w:rPr>
          <w:rFonts w:ascii="Times New Roman" w:hAnsi="Times New Roman" w:cs="Times New Roman"/>
          <w:sz w:val="24"/>
          <w:szCs w:val="24"/>
        </w:rPr>
        <w:t>:</w:t>
      </w:r>
      <w:r w:rsidR="00BF45C9" w:rsidRPr="00003E69">
        <w:rPr>
          <w:rFonts w:ascii="Times New Roman" w:hAnsi="Times New Roman" w:cs="Times New Roman"/>
          <w:sz w:val="24"/>
          <w:szCs w:val="24"/>
        </w:rPr>
        <w:t xml:space="preserve"> </w:t>
      </w:r>
      <w:hyperlink r:id="rId19" w:history="1">
        <w:r w:rsidR="00BF45C9" w:rsidRPr="00003E69">
          <w:rPr>
            <w:rStyle w:val="Hyperlink"/>
            <w:rFonts w:ascii="Times New Roman" w:hAnsi="Times New Roman" w:cs="Times New Roman"/>
            <w:sz w:val="24"/>
            <w:szCs w:val="24"/>
          </w:rPr>
          <w:t>https://www.dol.gov/agencies/eta/llsil</w:t>
        </w:r>
      </w:hyperlink>
      <w:r w:rsidR="00BF45C9">
        <w:rPr>
          <w:rFonts w:ascii="Times New Roman" w:hAnsi="Times New Roman" w:cs="Times New Roman"/>
          <w:sz w:val="24"/>
          <w:szCs w:val="24"/>
        </w:rPr>
        <w:t xml:space="preserve"> </w:t>
      </w:r>
    </w:p>
    <w:p w14:paraId="3C87DA7D" w14:textId="77777777" w:rsidR="00E00039" w:rsidRPr="00E00039" w:rsidRDefault="00341574" w:rsidP="00E0003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Effective Date </w:t>
      </w:r>
      <w:r>
        <w:rPr>
          <w:rFonts w:ascii="Times New Roman" w:eastAsia="Times New Roman" w:hAnsi="Times New Roman" w:cs="Times New Roman"/>
          <w:sz w:val="24"/>
          <w:szCs w:val="24"/>
          <w:lang w:val="en"/>
        </w:rPr>
        <w:br/>
        <w:t>7</w:t>
      </w:r>
      <w:r w:rsidR="00E00039" w:rsidRPr="00E00039">
        <w:rPr>
          <w:rFonts w:ascii="Times New Roman" w:eastAsia="Times New Roman" w:hAnsi="Times New Roman" w:cs="Times New Roman"/>
          <w:sz w:val="24"/>
          <w:szCs w:val="24"/>
          <w:lang w:val="en"/>
        </w:rPr>
        <w:t>/1/20</w:t>
      </w:r>
      <w:r w:rsidR="00E00039">
        <w:rPr>
          <w:rFonts w:ascii="Times New Roman" w:eastAsia="Times New Roman" w:hAnsi="Times New Roman" w:cs="Times New Roman"/>
          <w:sz w:val="24"/>
          <w:szCs w:val="24"/>
          <w:lang w:val="en"/>
        </w:rPr>
        <w:t>15</w:t>
      </w:r>
    </w:p>
    <w:p w14:paraId="42D5BC62" w14:textId="3CC53554" w:rsidR="00E00039" w:rsidRPr="00E00039" w:rsidRDefault="00CC4C4E" w:rsidP="00E0003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Last Updated </w:t>
      </w:r>
      <w:r>
        <w:rPr>
          <w:rFonts w:ascii="Times New Roman" w:eastAsia="Times New Roman" w:hAnsi="Times New Roman" w:cs="Times New Roman"/>
          <w:sz w:val="24"/>
          <w:szCs w:val="24"/>
          <w:lang w:val="en"/>
        </w:rPr>
        <w:br/>
      </w:r>
      <w:r w:rsidR="00003E69" w:rsidRPr="00003E69">
        <w:rPr>
          <w:rFonts w:ascii="Times New Roman" w:eastAsia="Times New Roman" w:hAnsi="Times New Roman" w:cs="Times New Roman"/>
          <w:sz w:val="24"/>
          <w:szCs w:val="24"/>
          <w:highlight w:val="yellow"/>
          <w:lang w:val="en"/>
        </w:rPr>
        <w:t>2/</w:t>
      </w:r>
      <w:r w:rsidR="00003E69">
        <w:rPr>
          <w:rFonts w:ascii="Times New Roman" w:eastAsia="Times New Roman" w:hAnsi="Times New Roman" w:cs="Times New Roman"/>
          <w:sz w:val="24"/>
          <w:szCs w:val="24"/>
          <w:highlight w:val="yellow"/>
          <w:lang w:val="en"/>
        </w:rPr>
        <w:t>6</w:t>
      </w:r>
      <w:r w:rsidR="00003E69" w:rsidRPr="00003E69">
        <w:rPr>
          <w:rFonts w:ascii="Times New Roman" w:eastAsia="Times New Roman" w:hAnsi="Times New Roman" w:cs="Times New Roman"/>
          <w:sz w:val="24"/>
          <w:szCs w:val="24"/>
          <w:highlight w:val="yellow"/>
          <w:lang w:val="en"/>
        </w:rPr>
        <w:t>/2024</w:t>
      </w:r>
    </w:p>
    <w:p w14:paraId="1CA8E6AD" w14:textId="77777777" w:rsidR="00E00039" w:rsidRPr="00E00039" w:rsidRDefault="00E00039" w:rsidP="00E00039">
      <w:pPr>
        <w:spacing w:before="100" w:beforeAutospacing="1" w:after="100" w:afterAutospacing="1"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Contact </w:t>
      </w:r>
      <w:r w:rsidRPr="00E00039">
        <w:rPr>
          <w:rFonts w:ascii="Times New Roman" w:eastAsia="Times New Roman" w:hAnsi="Times New Roman" w:cs="Times New Roman"/>
          <w:sz w:val="24"/>
          <w:szCs w:val="24"/>
          <w:lang w:val="en"/>
        </w:rPr>
        <w:br/>
        <w:t xml:space="preserve">Kay Tracy, </w:t>
      </w:r>
      <w:hyperlink r:id="rId20" w:history="1">
        <w:r w:rsidRPr="00E00039">
          <w:rPr>
            <w:rFonts w:ascii="Times New Roman" w:eastAsia="Times New Roman" w:hAnsi="Times New Roman" w:cs="Times New Roman"/>
            <w:color w:val="0000FF"/>
            <w:sz w:val="24"/>
            <w:szCs w:val="24"/>
            <w:u w:val="single"/>
            <w:lang w:val="en"/>
          </w:rPr>
          <w:t>Kay.Tracy@state.mn.us</w:t>
        </w:r>
      </w:hyperlink>
      <w:r w:rsidRPr="00E00039">
        <w:rPr>
          <w:rFonts w:ascii="Times New Roman" w:eastAsia="Times New Roman" w:hAnsi="Times New Roman" w:cs="Times New Roman"/>
          <w:sz w:val="24"/>
          <w:szCs w:val="24"/>
          <w:lang w:val="en"/>
        </w:rPr>
        <w:br/>
        <w:t>Tel   651.259.7555</w:t>
      </w:r>
      <w:r w:rsidRPr="00E00039">
        <w:rPr>
          <w:rFonts w:ascii="Times New Roman" w:eastAsia="Times New Roman" w:hAnsi="Times New Roman" w:cs="Times New Roman"/>
          <w:sz w:val="24"/>
          <w:szCs w:val="24"/>
          <w:lang w:val="en"/>
        </w:rPr>
        <w:br/>
        <w:t>Fax  651.215.3842</w:t>
      </w:r>
      <w:r w:rsidRPr="00E00039">
        <w:rPr>
          <w:rFonts w:ascii="Times New Roman" w:eastAsia="Times New Roman" w:hAnsi="Times New Roman" w:cs="Times New Roman"/>
          <w:sz w:val="24"/>
          <w:szCs w:val="24"/>
          <w:lang w:val="en"/>
        </w:rPr>
        <w:br/>
        <w:t>TTY  651.296.3900</w:t>
      </w:r>
    </w:p>
    <w:p w14:paraId="16A643FB" w14:textId="76C317D3" w:rsidR="00D72458" w:rsidRPr="00A16633" w:rsidRDefault="00E00039" w:rsidP="00E00039">
      <w:pPr>
        <w:spacing w:before="100" w:beforeAutospacing="1" w:after="100" w:afterAutospacing="1" w:line="240" w:lineRule="auto"/>
        <w:rPr>
          <w:rFonts w:ascii="Times New Roman" w:eastAsia="Times New Roman" w:hAnsi="Times New Roman" w:cs="Times New Roman"/>
          <w:b/>
          <w:bCs/>
          <w:sz w:val="24"/>
          <w:szCs w:val="24"/>
          <w:lang w:val="en"/>
        </w:rPr>
      </w:pPr>
      <w:r w:rsidRPr="00E00039">
        <w:rPr>
          <w:rFonts w:ascii="Times New Roman" w:eastAsia="Times New Roman" w:hAnsi="Times New Roman" w:cs="Times New Roman"/>
          <w:sz w:val="24"/>
          <w:szCs w:val="24"/>
          <w:lang w:val="en"/>
        </w:rPr>
        <w:lastRenderedPageBreak/>
        <w:t xml:space="preserve">Policy </w:t>
      </w:r>
      <w:r w:rsidRPr="00E00039">
        <w:rPr>
          <w:rFonts w:ascii="Times New Roman" w:eastAsia="Times New Roman" w:hAnsi="Times New Roman" w:cs="Times New Roman"/>
          <w:sz w:val="24"/>
          <w:szCs w:val="24"/>
          <w:lang w:val="en"/>
        </w:rPr>
        <w:br/>
      </w:r>
      <w:r w:rsidR="00D72458" w:rsidRPr="00D72458">
        <w:rPr>
          <w:rFonts w:ascii="Times New Roman" w:hAnsi="Times New Roman" w:cs="Times New Roman"/>
          <w:sz w:val="24"/>
          <w:szCs w:val="24"/>
          <w:lang w:val="en"/>
        </w:rPr>
        <w:t>In accordance with WI</w:t>
      </w:r>
      <w:r w:rsidR="00D72458">
        <w:rPr>
          <w:rFonts w:ascii="Times New Roman" w:hAnsi="Times New Roman" w:cs="Times New Roman"/>
          <w:sz w:val="24"/>
          <w:szCs w:val="24"/>
          <w:lang w:val="en"/>
        </w:rPr>
        <w:t>O</w:t>
      </w:r>
      <w:r w:rsidR="00D72458" w:rsidRPr="00D72458">
        <w:rPr>
          <w:rFonts w:ascii="Times New Roman" w:hAnsi="Times New Roman" w:cs="Times New Roman"/>
          <w:sz w:val="24"/>
          <w:szCs w:val="24"/>
          <w:lang w:val="en"/>
        </w:rPr>
        <w:t>A</w:t>
      </w:r>
      <w:r w:rsidR="00EC7D98">
        <w:rPr>
          <w:rFonts w:ascii="Times New Roman" w:hAnsi="Times New Roman" w:cs="Times New Roman"/>
          <w:sz w:val="24"/>
          <w:szCs w:val="24"/>
          <w:lang w:val="en"/>
        </w:rPr>
        <w:t xml:space="preserve"> laws and regulations</w:t>
      </w:r>
      <w:r w:rsidR="00D72458" w:rsidRPr="00D72458">
        <w:rPr>
          <w:rFonts w:ascii="Times New Roman" w:hAnsi="Times New Roman" w:cs="Times New Roman"/>
          <w:sz w:val="24"/>
          <w:szCs w:val="24"/>
          <w:lang w:val="en"/>
        </w:rPr>
        <w:t>, an eligible individual shall be one “who has, or is a member of a family which has received a total family income for the program involved which, in relation to family size, was not in excess of the higher of (</w:t>
      </w:r>
      <w:proofErr w:type="spellStart"/>
      <w:r w:rsidR="00D72458" w:rsidRPr="00D72458">
        <w:rPr>
          <w:rFonts w:ascii="Times New Roman" w:hAnsi="Times New Roman" w:cs="Times New Roman"/>
          <w:sz w:val="24"/>
          <w:szCs w:val="24"/>
          <w:lang w:val="en"/>
        </w:rPr>
        <w:t>i</w:t>
      </w:r>
      <w:proofErr w:type="spellEnd"/>
      <w:r w:rsidR="00D72458" w:rsidRPr="00D72458">
        <w:rPr>
          <w:rFonts w:ascii="Times New Roman" w:hAnsi="Times New Roman" w:cs="Times New Roman"/>
          <w:sz w:val="24"/>
          <w:szCs w:val="24"/>
          <w:lang w:val="en"/>
        </w:rPr>
        <w:t>) the poverty level determined in accordance with criteria established by the Director of the Office of Management and Budget, or (ii) 70 percent of the lower living standard income level…”</w:t>
      </w:r>
    </w:p>
    <w:tbl>
      <w:tblPr>
        <w:tblW w:w="9611" w:type="dxa"/>
        <w:tblInd w:w="240" w:type="dxa"/>
        <w:tblLayout w:type="fixed"/>
        <w:tblCellMar>
          <w:left w:w="54" w:type="dxa"/>
          <w:right w:w="54" w:type="dxa"/>
        </w:tblCellMar>
        <w:tblLook w:val="0000" w:firstRow="0" w:lastRow="0" w:firstColumn="0" w:lastColumn="0" w:noHBand="0" w:noVBand="0"/>
      </w:tblPr>
      <w:tblGrid>
        <w:gridCol w:w="1487"/>
        <w:gridCol w:w="1862"/>
        <w:gridCol w:w="2567"/>
        <w:gridCol w:w="1788"/>
        <w:gridCol w:w="1907"/>
      </w:tblGrid>
      <w:tr w:rsidR="00D72458" w:rsidRPr="00CF7272" w14:paraId="7D8354E0" w14:textId="77777777" w:rsidTr="00D72458">
        <w:tc>
          <w:tcPr>
            <w:tcW w:w="3349" w:type="dxa"/>
            <w:gridSpan w:val="2"/>
            <w:tcBorders>
              <w:top w:val="nil"/>
              <w:left w:val="nil"/>
              <w:bottom w:val="single" w:sz="4" w:space="0" w:color="auto"/>
              <w:right w:val="nil"/>
            </w:tcBorders>
            <w:vAlign w:val="center"/>
          </w:tcPr>
          <w:p w14:paraId="038AB274" w14:textId="77777777" w:rsidR="00D72458" w:rsidRDefault="00D72458" w:rsidP="00D72458">
            <w:pPr>
              <w:widowControl w:val="0"/>
              <w:tabs>
                <w:tab w:val="left" w:pos="2880"/>
              </w:tabs>
              <w:autoSpaceDE w:val="0"/>
              <w:autoSpaceDN w:val="0"/>
              <w:adjustRightInd w:val="0"/>
              <w:rPr>
                <w:rFonts w:ascii="Arial" w:hAnsi="Arial" w:cs="Arial"/>
                <w:b/>
              </w:rPr>
            </w:pPr>
            <w:r w:rsidRPr="00CF7272">
              <w:rPr>
                <w:rFonts w:ascii="Arial" w:hAnsi="Arial" w:cs="Arial"/>
                <w:b/>
                <w:bCs/>
              </w:rPr>
              <w:t>Income Eligibility Table</w:t>
            </w:r>
          </w:p>
          <w:p w14:paraId="7AECBD71" w14:textId="758EBE59" w:rsidR="00D72458" w:rsidRPr="00EC5E83" w:rsidRDefault="00D72458" w:rsidP="00284E9F">
            <w:pPr>
              <w:widowControl w:val="0"/>
              <w:tabs>
                <w:tab w:val="left" w:pos="2880"/>
              </w:tabs>
              <w:autoSpaceDE w:val="0"/>
              <w:autoSpaceDN w:val="0"/>
              <w:adjustRightInd w:val="0"/>
              <w:jc w:val="center"/>
              <w:rPr>
                <w:rFonts w:ascii="Arial" w:hAnsi="Arial" w:cs="Arial"/>
                <w:b/>
              </w:rPr>
            </w:pPr>
            <w:r>
              <w:rPr>
                <w:rFonts w:ascii="Arial" w:hAnsi="Arial" w:cs="Arial"/>
                <w:b/>
              </w:rPr>
              <w:t xml:space="preserve">Last </w:t>
            </w:r>
            <w:r w:rsidRPr="00EC5E83">
              <w:rPr>
                <w:rFonts w:ascii="Arial" w:hAnsi="Arial" w:cs="Arial"/>
                <w:b/>
              </w:rPr>
              <w:t xml:space="preserve">Updated: </w:t>
            </w:r>
            <w:r w:rsidR="00003E69" w:rsidRPr="00003E69">
              <w:rPr>
                <w:rFonts w:ascii="Arial" w:hAnsi="Arial" w:cs="Arial"/>
                <w:b/>
                <w:highlight w:val="yellow"/>
              </w:rPr>
              <w:t>2/6/2024</w:t>
            </w:r>
          </w:p>
        </w:tc>
        <w:tc>
          <w:tcPr>
            <w:tcW w:w="2567" w:type="dxa"/>
            <w:tcBorders>
              <w:top w:val="nil"/>
              <w:left w:val="nil"/>
              <w:bottom w:val="single" w:sz="4" w:space="0" w:color="auto"/>
              <w:right w:val="nil"/>
            </w:tcBorders>
            <w:vAlign w:val="center"/>
          </w:tcPr>
          <w:p w14:paraId="672C85D2" w14:textId="77777777" w:rsidR="00D72458" w:rsidRPr="00EC5E83" w:rsidRDefault="00D72458" w:rsidP="00D72458">
            <w:pPr>
              <w:widowControl w:val="0"/>
              <w:tabs>
                <w:tab w:val="left" w:pos="2880"/>
              </w:tabs>
              <w:autoSpaceDE w:val="0"/>
              <w:autoSpaceDN w:val="0"/>
              <w:adjustRightInd w:val="0"/>
              <w:rPr>
                <w:rFonts w:ascii="Arial" w:hAnsi="Arial" w:cs="Arial"/>
              </w:rPr>
            </w:pPr>
          </w:p>
        </w:tc>
        <w:tc>
          <w:tcPr>
            <w:tcW w:w="1788" w:type="dxa"/>
            <w:tcBorders>
              <w:top w:val="nil"/>
              <w:left w:val="nil"/>
              <w:bottom w:val="single" w:sz="4" w:space="0" w:color="auto"/>
              <w:right w:val="nil"/>
            </w:tcBorders>
            <w:vAlign w:val="center"/>
          </w:tcPr>
          <w:p w14:paraId="3216A72D" w14:textId="77777777" w:rsidR="00D72458" w:rsidRPr="00EC5E83" w:rsidRDefault="00D72458" w:rsidP="00D72458">
            <w:pPr>
              <w:widowControl w:val="0"/>
              <w:tabs>
                <w:tab w:val="left" w:pos="2880"/>
              </w:tabs>
              <w:autoSpaceDE w:val="0"/>
              <w:autoSpaceDN w:val="0"/>
              <w:adjustRightInd w:val="0"/>
              <w:rPr>
                <w:rFonts w:ascii="Arial" w:hAnsi="Arial" w:cs="Arial"/>
              </w:rPr>
            </w:pPr>
          </w:p>
        </w:tc>
        <w:tc>
          <w:tcPr>
            <w:tcW w:w="1907" w:type="dxa"/>
            <w:tcBorders>
              <w:top w:val="nil"/>
              <w:left w:val="nil"/>
              <w:bottom w:val="single" w:sz="4" w:space="0" w:color="auto"/>
              <w:right w:val="nil"/>
            </w:tcBorders>
            <w:vAlign w:val="center"/>
          </w:tcPr>
          <w:p w14:paraId="2A1833AE" w14:textId="77777777" w:rsidR="00D72458" w:rsidRPr="00EC5E83" w:rsidRDefault="00D72458" w:rsidP="00D72458">
            <w:pPr>
              <w:widowControl w:val="0"/>
              <w:tabs>
                <w:tab w:val="left" w:pos="2880"/>
              </w:tabs>
              <w:autoSpaceDE w:val="0"/>
              <w:autoSpaceDN w:val="0"/>
              <w:adjustRightInd w:val="0"/>
              <w:rPr>
                <w:rFonts w:ascii="Arial" w:hAnsi="Arial" w:cs="Arial"/>
              </w:rPr>
            </w:pPr>
          </w:p>
        </w:tc>
      </w:tr>
      <w:tr w:rsidR="00D72458" w:rsidRPr="00D72458" w14:paraId="51A63A5A" w14:textId="77777777" w:rsidTr="00D72458">
        <w:trPr>
          <w:trHeight w:val="1021"/>
        </w:trPr>
        <w:tc>
          <w:tcPr>
            <w:tcW w:w="1487" w:type="dxa"/>
            <w:tcBorders>
              <w:top w:val="single" w:sz="4" w:space="0" w:color="auto"/>
              <w:left w:val="single" w:sz="4" w:space="0" w:color="auto"/>
              <w:right w:val="single" w:sz="4" w:space="0" w:color="auto"/>
            </w:tcBorders>
            <w:shd w:val="clear" w:color="auto" w:fill="DDD9C3"/>
            <w:vAlign w:val="center"/>
          </w:tcPr>
          <w:p w14:paraId="325C1E32" w14:textId="77777777" w:rsidR="00D72458" w:rsidRPr="00CF7272"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CF7272">
              <w:rPr>
                <w:rFonts w:ascii="Arial" w:hAnsi="Arial" w:cs="Arial"/>
                <w:b/>
                <w:bCs/>
              </w:rPr>
              <w:t>Family Size</w:t>
            </w:r>
          </w:p>
        </w:tc>
        <w:tc>
          <w:tcPr>
            <w:tcW w:w="1862" w:type="dxa"/>
            <w:tcBorders>
              <w:top w:val="single" w:sz="4" w:space="0" w:color="auto"/>
              <w:left w:val="single" w:sz="4" w:space="0" w:color="auto"/>
              <w:right w:val="single" w:sz="4" w:space="0" w:color="auto"/>
            </w:tcBorders>
            <w:shd w:val="clear" w:color="auto" w:fill="DDD9C3"/>
            <w:vAlign w:val="center"/>
          </w:tcPr>
          <w:p w14:paraId="12FF31B8" w14:textId="77777777" w:rsidR="00D72458" w:rsidRPr="00842ADA"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842ADA">
              <w:rPr>
                <w:rFonts w:ascii="Arial" w:hAnsi="Arial" w:cs="Arial"/>
                <w:b/>
                <w:bCs/>
              </w:rPr>
              <w:t>Poverty Level</w:t>
            </w:r>
          </w:p>
          <w:p w14:paraId="6323133E" w14:textId="5FBA34F2" w:rsidR="00D72458" w:rsidRPr="00842ADA" w:rsidRDefault="001971A6" w:rsidP="00A376AA">
            <w:pPr>
              <w:widowControl w:val="0"/>
              <w:tabs>
                <w:tab w:val="left" w:pos="2880"/>
              </w:tabs>
              <w:autoSpaceDE w:val="0"/>
              <w:autoSpaceDN w:val="0"/>
              <w:adjustRightInd w:val="0"/>
              <w:spacing w:line="240" w:lineRule="auto"/>
              <w:jc w:val="center"/>
              <w:rPr>
                <w:rFonts w:ascii="Arial" w:hAnsi="Arial" w:cs="Arial"/>
                <w:b/>
                <w:bCs/>
              </w:rPr>
            </w:pPr>
            <w:r w:rsidRPr="00842ADA">
              <w:rPr>
                <w:rFonts w:ascii="Arial" w:hAnsi="Arial" w:cs="Arial"/>
                <w:b/>
                <w:bCs/>
              </w:rPr>
              <w:t>(</w:t>
            </w:r>
            <w:r w:rsidR="007E1D05">
              <w:rPr>
                <w:rFonts w:ascii="Arial" w:hAnsi="Arial" w:cs="Arial"/>
                <w:b/>
                <w:bCs/>
              </w:rPr>
              <w:t>Jan</w:t>
            </w:r>
            <w:r w:rsidR="00EC7D98" w:rsidRPr="00842ADA">
              <w:rPr>
                <w:rFonts w:ascii="Arial" w:hAnsi="Arial" w:cs="Arial"/>
                <w:b/>
                <w:bCs/>
              </w:rPr>
              <w:t xml:space="preserve"> ‘</w:t>
            </w:r>
            <w:r w:rsidR="00003E69">
              <w:rPr>
                <w:rFonts w:ascii="Arial" w:hAnsi="Arial" w:cs="Arial"/>
                <w:b/>
                <w:bCs/>
              </w:rPr>
              <w:t>24</w:t>
            </w:r>
            <w:r w:rsidR="00D72458" w:rsidRPr="00842ADA">
              <w:rPr>
                <w:rFonts w:ascii="Arial" w:hAnsi="Arial" w:cs="Arial"/>
                <w:b/>
                <w:bCs/>
              </w:rPr>
              <w:t>)¹</w:t>
            </w:r>
          </w:p>
        </w:tc>
        <w:tc>
          <w:tcPr>
            <w:tcW w:w="2567" w:type="dxa"/>
            <w:tcBorders>
              <w:top w:val="single" w:sz="4" w:space="0" w:color="auto"/>
              <w:left w:val="single" w:sz="4" w:space="0" w:color="auto"/>
              <w:right w:val="single" w:sz="4" w:space="0" w:color="auto"/>
            </w:tcBorders>
            <w:shd w:val="clear" w:color="auto" w:fill="DDD9C3"/>
            <w:vAlign w:val="center"/>
          </w:tcPr>
          <w:p w14:paraId="53A62297" w14:textId="1A490219" w:rsidR="00D72458" w:rsidRPr="00E42304" w:rsidRDefault="00284E9F" w:rsidP="00C14AC7">
            <w:pPr>
              <w:widowControl w:val="0"/>
              <w:tabs>
                <w:tab w:val="left" w:pos="2880"/>
              </w:tabs>
              <w:autoSpaceDE w:val="0"/>
              <w:autoSpaceDN w:val="0"/>
              <w:adjustRightInd w:val="0"/>
              <w:spacing w:line="240" w:lineRule="auto"/>
              <w:jc w:val="center"/>
              <w:rPr>
                <w:rFonts w:ascii="Arial" w:hAnsi="Arial" w:cs="Arial"/>
                <w:b/>
                <w:bCs/>
              </w:rPr>
            </w:pPr>
            <w:proofErr w:type="spellStart"/>
            <w:r w:rsidRPr="00E42304">
              <w:rPr>
                <w:rFonts w:ascii="Arial" w:hAnsi="Arial" w:cs="Arial"/>
                <w:b/>
                <w:bCs/>
              </w:rPr>
              <w:t>Mpl</w:t>
            </w:r>
            <w:r w:rsidR="00D72458" w:rsidRPr="00E42304">
              <w:rPr>
                <w:rFonts w:ascii="Arial" w:hAnsi="Arial" w:cs="Arial"/>
                <w:b/>
                <w:bCs/>
              </w:rPr>
              <w:t>s</w:t>
            </w:r>
            <w:proofErr w:type="spellEnd"/>
            <w:r w:rsidR="00D72458" w:rsidRPr="00E42304">
              <w:rPr>
                <w:rFonts w:ascii="Arial" w:hAnsi="Arial" w:cs="Arial"/>
                <w:b/>
                <w:bCs/>
              </w:rPr>
              <w:t>/</w:t>
            </w:r>
            <w:proofErr w:type="spellStart"/>
            <w:r w:rsidR="00D72458" w:rsidRPr="00E42304">
              <w:rPr>
                <w:rFonts w:ascii="Arial" w:hAnsi="Arial" w:cs="Arial"/>
                <w:b/>
                <w:bCs/>
              </w:rPr>
              <w:t>St</w:t>
            </w:r>
            <w:r w:rsidR="003A4342">
              <w:rPr>
                <w:rFonts w:ascii="Arial" w:hAnsi="Arial" w:cs="Arial"/>
                <w:b/>
                <w:bCs/>
              </w:rPr>
              <w:t>P</w:t>
            </w:r>
            <w:proofErr w:type="spellEnd"/>
            <w:r w:rsidR="003A4342">
              <w:rPr>
                <w:rFonts w:ascii="Arial" w:hAnsi="Arial" w:cs="Arial"/>
                <w:b/>
                <w:bCs/>
              </w:rPr>
              <w:t>/Bloomington</w:t>
            </w:r>
            <w:r w:rsidRPr="00E42304">
              <w:rPr>
                <w:rFonts w:ascii="Arial" w:hAnsi="Arial" w:cs="Arial"/>
                <w:b/>
                <w:bCs/>
              </w:rPr>
              <w:t xml:space="preserve"> </w:t>
            </w:r>
            <w:r w:rsidR="003A4342">
              <w:rPr>
                <w:rFonts w:ascii="Arial" w:hAnsi="Arial" w:cs="Arial"/>
                <w:b/>
                <w:bCs/>
              </w:rPr>
              <w:t xml:space="preserve">MN/WI </w:t>
            </w:r>
            <w:r w:rsidRPr="00E42304">
              <w:rPr>
                <w:rFonts w:ascii="Arial" w:hAnsi="Arial" w:cs="Arial"/>
                <w:b/>
                <w:bCs/>
              </w:rPr>
              <w:t>70%</w:t>
            </w:r>
          </w:p>
          <w:p w14:paraId="2789D85E" w14:textId="77777777" w:rsidR="00D72458" w:rsidRPr="00E42304"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MSA LLSIL</w:t>
            </w:r>
          </w:p>
          <w:p w14:paraId="6E3E5BFF" w14:textId="4A876439" w:rsidR="00D72458" w:rsidRPr="00E42304" w:rsidRDefault="00D72458" w:rsidP="00284E9F">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w:t>
            </w:r>
            <w:r w:rsidR="00842ADA" w:rsidRPr="00E42304">
              <w:rPr>
                <w:rFonts w:ascii="Arial" w:hAnsi="Arial" w:cs="Arial"/>
                <w:b/>
                <w:bCs/>
              </w:rPr>
              <w:t>Apr</w:t>
            </w:r>
            <w:r w:rsidRPr="00E42304">
              <w:rPr>
                <w:rFonts w:ascii="Arial" w:hAnsi="Arial" w:cs="Arial"/>
                <w:b/>
                <w:bCs/>
              </w:rPr>
              <w:t xml:space="preserve"> '</w:t>
            </w:r>
            <w:r w:rsidR="00842ADA" w:rsidRPr="00E42304">
              <w:rPr>
                <w:rFonts w:ascii="Arial" w:hAnsi="Arial" w:cs="Arial"/>
                <w:b/>
                <w:bCs/>
              </w:rPr>
              <w:t>2</w:t>
            </w:r>
            <w:r w:rsidR="003A4342">
              <w:rPr>
                <w:rFonts w:ascii="Arial" w:hAnsi="Arial" w:cs="Arial"/>
                <w:b/>
                <w:bCs/>
              </w:rPr>
              <w:t>3</w:t>
            </w:r>
            <w:r w:rsidRPr="00E42304">
              <w:rPr>
                <w:rFonts w:ascii="Arial" w:hAnsi="Arial" w:cs="Arial"/>
                <w:b/>
                <w:bCs/>
              </w:rPr>
              <w:t>)²</w:t>
            </w:r>
          </w:p>
        </w:tc>
        <w:tc>
          <w:tcPr>
            <w:tcW w:w="1788" w:type="dxa"/>
            <w:tcBorders>
              <w:top w:val="single" w:sz="4" w:space="0" w:color="auto"/>
              <w:left w:val="single" w:sz="4" w:space="0" w:color="auto"/>
              <w:right w:val="single" w:sz="4" w:space="0" w:color="auto"/>
            </w:tcBorders>
            <w:shd w:val="clear" w:color="auto" w:fill="DDD9C3"/>
            <w:vAlign w:val="center"/>
          </w:tcPr>
          <w:p w14:paraId="695C3B46" w14:textId="77777777" w:rsidR="00D72458" w:rsidRPr="00E42304"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Metro 70%</w:t>
            </w:r>
          </w:p>
          <w:p w14:paraId="125ACD2A" w14:textId="77777777" w:rsidR="00D72458" w:rsidRPr="00E42304"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LLSIL</w:t>
            </w:r>
          </w:p>
          <w:p w14:paraId="407D8AD7" w14:textId="31B01DC0" w:rsidR="00D72458" w:rsidRPr="00E42304" w:rsidRDefault="00D72458" w:rsidP="00284E9F">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w:t>
            </w:r>
            <w:r w:rsidR="00842ADA" w:rsidRPr="00E42304">
              <w:rPr>
                <w:rFonts w:ascii="Arial" w:hAnsi="Arial" w:cs="Arial"/>
                <w:b/>
                <w:bCs/>
              </w:rPr>
              <w:t>Apr</w:t>
            </w:r>
            <w:r w:rsidR="001B3A48" w:rsidRPr="00E42304">
              <w:rPr>
                <w:rFonts w:ascii="Arial" w:hAnsi="Arial" w:cs="Arial"/>
                <w:b/>
                <w:bCs/>
              </w:rPr>
              <w:t xml:space="preserve"> ‘</w:t>
            </w:r>
            <w:r w:rsidR="006E7C21" w:rsidRPr="00E42304">
              <w:rPr>
                <w:rFonts w:ascii="Arial" w:hAnsi="Arial" w:cs="Arial"/>
                <w:b/>
                <w:bCs/>
              </w:rPr>
              <w:t>2</w:t>
            </w:r>
            <w:r w:rsidR="003A4342">
              <w:rPr>
                <w:rFonts w:ascii="Arial" w:hAnsi="Arial" w:cs="Arial"/>
                <w:b/>
                <w:bCs/>
              </w:rPr>
              <w:t>3</w:t>
            </w:r>
            <w:r w:rsidRPr="00E42304">
              <w:rPr>
                <w:rFonts w:ascii="Arial" w:hAnsi="Arial" w:cs="Arial"/>
                <w:b/>
                <w:bCs/>
              </w:rPr>
              <w:t>)³</w:t>
            </w:r>
          </w:p>
        </w:tc>
        <w:tc>
          <w:tcPr>
            <w:tcW w:w="1907" w:type="dxa"/>
            <w:tcBorders>
              <w:top w:val="single" w:sz="4" w:space="0" w:color="auto"/>
              <w:left w:val="single" w:sz="4" w:space="0" w:color="auto"/>
              <w:right w:val="single" w:sz="4" w:space="0" w:color="auto"/>
            </w:tcBorders>
            <w:shd w:val="clear" w:color="auto" w:fill="DDD9C3"/>
            <w:vAlign w:val="center"/>
          </w:tcPr>
          <w:p w14:paraId="2B4437FE" w14:textId="77777777" w:rsidR="00D72458" w:rsidRPr="00E42304"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Non-Metro 70%</w:t>
            </w:r>
          </w:p>
          <w:p w14:paraId="7324D599" w14:textId="77777777" w:rsidR="00D72458" w:rsidRPr="00E42304" w:rsidRDefault="00D72458" w:rsidP="00C14AC7">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LLSIL</w:t>
            </w:r>
          </w:p>
          <w:p w14:paraId="672355FA" w14:textId="522D1ECB" w:rsidR="00D72458" w:rsidRPr="00E42304" w:rsidRDefault="00D72458" w:rsidP="00284E9F">
            <w:pPr>
              <w:widowControl w:val="0"/>
              <w:tabs>
                <w:tab w:val="left" w:pos="2880"/>
              </w:tabs>
              <w:autoSpaceDE w:val="0"/>
              <w:autoSpaceDN w:val="0"/>
              <w:adjustRightInd w:val="0"/>
              <w:spacing w:line="240" w:lineRule="auto"/>
              <w:jc w:val="center"/>
              <w:rPr>
                <w:rFonts w:ascii="Arial" w:hAnsi="Arial" w:cs="Arial"/>
                <w:b/>
                <w:bCs/>
              </w:rPr>
            </w:pPr>
            <w:r w:rsidRPr="00E42304">
              <w:rPr>
                <w:rFonts w:ascii="Arial" w:hAnsi="Arial" w:cs="Arial"/>
                <w:b/>
                <w:bCs/>
              </w:rPr>
              <w:t>(</w:t>
            </w:r>
            <w:r w:rsidR="00842ADA" w:rsidRPr="00E42304">
              <w:rPr>
                <w:rFonts w:ascii="Arial" w:hAnsi="Arial" w:cs="Arial"/>
                <w:b/>
                <w:bCs/>
              </w:rPr>
              <w:t>Apr</w:t>
            </w:r>
            <w:r w:rsidR="001B3A48" w:rsidRPr="00E42304">
              <w:rPr>
                <w:rFonts w:ascii="Arial" w:hAnsi="Arial" w:cs="Arial"/>
                <w:b/>
                <w:bCs/>
              </w:rPr>
              <w:t xml:space="preserve"> ‘</w:t>
            </w:r>
            <w:r w:rsidR="006E7C21" w:rsidRPr="00E42304">
              <w:rPr>
                <w:rFonts w:ascii="Arial" w:hAnsi="Arial" w:cs="Arial"/>
                <w:b/>
                <w:bCs/>
              </w:rPr>
              <w:t>2</w:t>
            </w:r>
            <w:r w:rsidR="003A4342">
              <w:rPr>
                <w:rFonts w:ascii="Arial" w:hAnsi="Arial" w:cs="Arial"/>
                <w:b/>
                <w:bCs/>
              </w:rPr>
              <w:t>3</w:t>
            </w:r>
            <w:r w:rsidRPr="00E42304">
              <w:rPr>
                <w:rFonts w:ascii="Arial" w:hAnsi="Arial" w:cs="Arial"/>
                <w:b/>
                <w:bCs/>
              </w:rPr>
              <w:t>)</w:t>
            </w:r>
            <w:r w:rsidRPr="00E42304">
              <w:rPr>
                <w:rFonts w:ascii="Arial" w:hAnsi="Arial" w:cs="Arial"/>
                <w:b/>
                <w:bCs/>
                <w:vertAlign w:val="superscript"/>
              </w:rPr>
              <w:t>4 &amp; 5</w:t>
            </w:r>
          </w:p>
        </w:tc>
      </w:tr>
      <w:tr w:rsidR="00E42304" w:rsidRPr="001B3A48" w14:paraId="5D2DFDC2" w14:textId="77777777" w:rsidTr="00C101EC">
        <w:trPr>
          <w:trHeight w:val="300"/>
        </w:trPr>
        <w:tc>
          <w:tcPr>
            <w:tcW w:w="1487" w:type="dxa"/>
            <w:tcBorders>
              <w:top w:val="single" w:sz="4" w:space="0" w:color="auto"/>
              <w:left w:val="single" w:sz="6" w:space="0" w:color="auto"/>
              <w:bottom w:val="single" w:sz="6" w:space="0" w:color="auto"/>
              <w:right w:val="single" w:sz="6" w:space="0" w:color="auto"/>
            </w:tcBorders>
            <w:vAlign w:val="center"/>
          </w:tcPr>
          <w:p w14:paraId="71196310"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w:t>
            </w:r>
          </w:p>
        </w:tc>
        <w:tc>
          <w:tcPr>
            <w:tcW w:w="1862" w:type="dxa"/>
            <w:tcBorders>
              <w:top w:val="single" w:sz="4" w:space="0" w:color="auto"/>
              <w:left w:val="single" w:sz="6" w:space="0" w:color="auto"/>
              <w:bottom w:val="single" w:sz="6" w:space="0" w:color="auto"/>
              <w:right w:val="single" w:sz="6" w:space="0" w:color="auto"/>
            </w:tcBorders>
          </w:tcPr>
          <w:p w14:paraId="75FA4AE1" w14:textId="78FA8D63"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$1</w:t>
            </w:r>
            <w:r w:rsidR="00003E69" w:rsidRPr="00003E69">
              <w:rPr>
                <w:rFonts w:ascii="Arial" w:hAnsi="Arial" w:cs="Arial"/>
                <w:highlight w:val="yellow"/>
              </w:rPr>
              <w:t>5,060</w:t>
            </w:r>
            <w:r w:rsidRPr="003D1CBF">
              <w:rPr>
                <w:rFonts w:ascii="Arial" w:hAnsi="Arial" w:cs="Arial"/>
              </w:rPr>
              <w:t xml:space="preserve"> </w:t>
            </w:r>
          </w:p>
        </w:tc>
        <w:tc>
          <w:tcPr>
            <w:tcW w:w="2567" w:type="dxa"/>
            <w:tcBorders>
              <w:top w:val="single" w:sz="4" w:space="0" w:color="auto"/>
              <w:left w:val="single" w:sz="6" w:space="0" w:color="auto"/>
              <w:bottom w:val="single" w:sz="6" w:space="0" w:color="auto"/>
              <w:right w:val="single" w:sz="6" w:space="0" w:color="auto"/>
            </w:tcBorders>
            <w:vAlign w:val="bottom"/>
          </w:tcPr>
          <w:p w14:paraId="1E179380" w14:textId="51701A5F"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11,248</w:t>
            </w:r>
          </w:p>
        </w:tc>
        <w:tc>
          <w:tcPr>
            <w:tcW w:w="1788" w:type="dxa"/>
            <w:tcBorders>
              <w:top w:val="single" w:sz="4" w:space="0" w:color="auto"/>
              <w:left w:val="single" w:sz="6" w:space="0" w:color="auto"/>
              <w:bottom w:val="single" w:sz="6" w:space="0" w:color="auto"/>
              <w:right w:val="single" w:sz="6" w:space="0" w:color="auto"/>
            </w:tcBorders>
            <w:tcMar>
              <w:right w:w="29" w:type="dxa"/>
            </w:tcMar>
          </w:tcPr>
          <w:p w14:paraId="09824F6C" w14:textId="324ACEE5" w:rsidR="00E42304" w:rsidRPr="00003E69" w:rsidRDefault="00E42304" w:rsidP="00E42304">
            <w:pPr>
              <w:jc w:val="center"/>
              <w:rPr>
                <w:rFonts w:ascii="Arial" w:hAnsi="Arial" w:cs="Arial"/>
              </w:rPr>
            </w:pPr>
            <w:r w:rsidRPr="00003E69">
              <w:rPr>
                <w:rFonts w:ascii="Arial" w:hAnsi="Arial" w:cs="Arial"/>
              </w:rPr>
              <w:t>$</w:t>
            </w:r>
            <w:r w:rsidR="00BA4CED" w:rsidRPr="00003E69">
              <w:rPr>
                <w:rFonts w:ascii="Arial" w:hAnsi="Arial" w:cs="Arial"/>
              </w:rPr>
              <w:t>11,112</w:t>
            </w:r>
          </w:p>
        </w:tc>
        <w:tc>
          <w:tcPr>
            <w:tcW w:w="1907" w:type="dxa"/>
            <w:tcBorders>
              <w:top w:val="single" w:sz="4" w:space="0" w:color="auto"/>
              <w:left w:val="single" w:sz="6" w:space="0" w:color="auto"/>
              <w:bottom w:val="single" w:sz="6" w:space="0" w:color="auto"/>
              <w:right w:val="single" w:sz="6" w:space="0" w:color="auto"/>
            </w:tcBorders>
            <w:tcMar>
              <w:right w:w="29" w:type="dxa"/>
            </w:tcMar>
          </w:tcPr>
          <w:p w14:paraId="672DA55E" w14:textId="36E46BBE"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10,674</w:t>
            </w:r>
          </w:p>
        </w:tc>
      </w:tr>
      <w:tr w:rsidR="00E42304" w:rsidRPr="001B3A48" w14:paraId="2AACCC6A"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486CE9EC"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2</w:t>
            </w:r>
          </w:p>
        </w:tc>
        <w:tc>
          <w:tcPr>
            <w:tcW w:w="1862" w:type="dxa"/>
            <w:tcBorders>
              <w:top w:val="single" w:sz="6" w:space="0" w:color="auto"/>
              <w:left w:val="single" w:sz="6" w:space="0" w:color="auto"/>
              <w:bottom w:val="single" w:sz="6" w:space="0" w:color="auto"/>
              <w:right w:val="single" w:sz="6" w:space="0" w:color="auto"/>
            </w:tcBorders>
          </w:tcPr>
          <w:p w14:paraId="1556D289" w14:textId="0DF5D00C"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w:t>
            </w:r>
            <w:r w:rsidR="00003E69" w:rsidRPr="00003E69">
              <w:rPr>
                <w:rFonts w:ascii="Arial" w:hAnsi="Arial" w:cs="Arial"/>
                <w:highlight w:val="yellow"/>
              </w:rPr>
              <w:t>20,440</w:t>
            </w:r>
          </w:p>
        </w:tc>
        <w:tc>
          <w:tcPr>
            <w:tcW w:w="2567" w:type="dxa"/>
            <w:tcBorders>
              <w:top w:val="single" w:sz="6" w:space="0" w:color="auto"/>
              <w:left w:val="single" w:sz="6" w:space="0" w:color="auto"/>
              <w:bottom w:val="single" w:sz="6" w:space="0" w:color="auto"/>
              <w:right w:val="single" w:sz="6" w:space="0" w:color="auto"/>
            </w:tcBorders>
            <w:vAlign w:val="bottom"/>
          </w:tcPr>
          <w:p w14:paraId="3ED79667" w14:textId="7D34EB65"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18,432</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6FB1D5F1" w14:textId="5377122F" w:rsidR="00E42304" w:rsidRPr="00003E69" w:rsidRDefault="00E42304" w:rsidP="00E42304">
            <w:pPr>
              <w:jc w:val="center"/>
              <w:rPr>
                <w:rFonts w:ascii="Arial" w:hAnsi="Arial" w:cs="Arial"/>
              </w:rPr>
            </w:pPr>
            <w:r w:rsidRPr="00003E69">
              <w:rPr>
                <w:rFonts w:ascii="Arial" w:hAnsi="Arial" w:cs="Arial"/>
              </w:rPr>
              <w:t>$1</w:t>
            </w:r>
            <w:r w:rsidR="00BA4CED" w:rsidRPr="00003E69">
              <w:rPr>
                <w:rFonts w:ascii="Arial" w:hAnsi="Arial" w:cs="Arial"/>
              </w:rPr>
              <w:t>8,214</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1469674E" w14:textId="36249950"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17,478</w:t>
            </w:r>
          </w:p>
        </w:tc>
      </w:tr>
      <w:tr w:rsidR="00E42304" w:rsidRPr="001B3A48" w14:paraId="0FF1C1A6"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422AD75F"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3</w:t>
            </w:r>
          </w:p>
        </w:tc>
        <w:tc>
          <w:tcPr>
            <w:tcW w:w="1862" w:type="dxa"/>
            <w:tcBorders>
              <w:top w:val="single" w:sz="6" w:space="0" w:color="auto"/>
              <w:left w:val="single" w:sz="6" w:space="0" w:color="auto"/>
              <w:bottom w:val="single" w:sz="6" w:space="0" w:color="auto"/>
              <w:right w:val="single" w:sz="6" w:space="0" w:color="auto"/>
            </w:tcBorders>
          </w:tcPr>
          <w:p w14:paraId="009541B0" w14:textId="67FEB508"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$2</w:t>
            </w:r>
            <w:r w:rsidR="00003E69" w:rsidRPr="00003E69">
              <w:rPr>
                <w:rFonts w:ascii="Arial" w:hAnsi="Arial" w:cs="Arial"/>
                <w:highlight w:val="yellow"/>
              </w:rPr>
              <w:t>5,820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7905BF2C" w14:textId="29F26232"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25,305</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6C83EAB4" w14:textId="7CADC0F5" w:rsidR="00E42304" w:rsidRPr="00003E69" w:rsidRDefault="00E42304" w:rsidP="00E42304">
            <w:pPr>
              <w:jc w:val="center"/>
              <w:rPr>
                <w:rFonts w:ascii="Arial" w:hAnsi="Arial" w:cs="Arial"/>
              </w:rPr>
            </w:pPr>
            <w:r w:rsidRPr="00003E69">
              <w:rPr>
                <w:rFonts w:ascii="Arial" w:hAnsi="Arial" w:cs="Arial"/>
              </w:rPr>
              <w:t>$</w:t>
            </w:r>
            <w:r w:rsidR="00BA4CED" w:rsidRPr="00003E69">
              <w:rPr>
                <w:rFonts w:ascii="Arial" w:hAnsi="Arial" w:cs="Arial"/>
              </w:rPr>
              <w:t>25,000</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1BCFDA2D" w14:textId="765029B4"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23,997</w:t>
            </w:r>
          </w:p>
        </w:tc>
      </w:tr>
      <w:tr w:rsidR="00E42304" w:rsidRPr="001B3A48" w14:paraId="2A6C1533"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489EB3DA"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4</w:t>
            </w:r>
          </w:p>
        </w:tc>
        <w:tc>
          <w:tcPr>
            <w:tcW w:w="1862" w:type="dxa"/>
            <w:tcBorders>
              <w:top w:val="single" w:sz="6" w:space="0" w:color="auto"/>
              <w:left w:val="single" w:sz="6" w:space="0" w:color="auto"/>
              <w:bottom w:val="single" w:sz="6" w:space="0" w:color="auto"/>
              <w:right w:val="single" w:sz="6" w:space="0" w:color="auto"/>
            </w:tcBorders>
          </w:tcPr>
          <w:p w14:paraId="0B669507" w14:textId="4E037343"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w:t>
            </w:r>
            <w:r w:rsidR="00003E69" w:rsidRPr="00003E69">
              <w:rPr>
                <w:rFonts w:ascii="Arial" w:hAnsi="Arial" w:cs="Arial"/>
                <w:highlight w:val="yellow"/>
              </w:rPr>
              <w:t>31,200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796FF76B" w14:textId="7CF0AFA7"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31,232</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5773C7D2" w14:textId="4C854ED4" w:rsidR="00E42304" w:rsidRPr="00003E69" w:rsidRDefault="00E42304" w:rsidP="00E42304">
            <w:pPr>
              <w:jc w:val="center"/>
              <w:rPr>
                <w:rFonts w:ascii="Arial" w:hAnsi="Arial" w:cs="Arial"/>
              </w:rPr>
            </w:pPr>
            <w:r w:rsidRPr="00003E69">
              <w:rPr>
                <w:rFonts w:ascii="Arial" w:hAnsi="Arial" w:cs="Arial"/>
              </w:rPr>
              <w:t>$</w:t>
            </w:r>
            <w:r w:rsidR="00BA4CED" w:rsidRPr="00003E69">
              <w:rPr>
                <w:rFonts w:ascii="Arial" w:hAnsi="Arial" w:cs="Arial"/>
              </w:rPr>
              <w:t>30,863</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0FC59830" w14:textId="770BD667"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29,623</w:t>
            </w:r>
          </w:p>
        </w:tc>
      </w:tr>
      <w:tr w:rsidR="00E42304" w:rsidRPr="001B3A48" w14:paraId="2018AB31"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0F75FC01"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5</w:t>
            </w:r>
          </w:p>
        </w:tc>
        <w:tc>
          <w:tcPr>
            <w:tcW w:w="1862" w:type="dxa"/>
            <w:tcBorders>
              <w:top w:val="single" w:sz="6" w:space="0" w:color="auto"/>
              <w:left w:val="single" w:sz="6" w:space="0" w:color="auto"/>
              <w:bottom w:val="single" w:sz="6" w:space="0" w:color="auto"/>
              <w:right w:val="single" w:sz="6" w:space="0" w:color="auto"/>
            </w:tcBorders>
          </w:tcPr>
          <w:p w14:paraId="3C5167DD" w14:textId="00290051"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$3</w:t>
            </w:r>
            <w:r w:rsidR="00003E69" w:rsidRPr="00003E69">
              <w:rPr>
                <w:rFonts w:ascii="Arial" w:hAnsi="Arial" w:cs="Arial"/>
                <w:highlight w:val="yellow"/>
              </w:rPr>
              <w:t>6,580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1A0A574A" w14:textId="6FB20D53"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36,862</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19C368BC" w14:textId="3B57C3FA" w:rsidR="00E42304" w:rsidRPr="00003E69" w:rsidRDefault="00E42304" w:rsidP="00E42304">
            <w:pPr>
              <w:jc w:val="center"/>
              <w:rPr>
                <w:rFonts w:ascii="Arial" w:hAnsi="Arial" w:cs="Arial"/>
              </w:rPr>
            </w:pPr>
            <w:r w:rsidRPr="00003E69">
              <w:rPr>
                <w:rFonts w:ascii="Arial" w:hAnsi="Arial" w:cs="Arial"/>
              </w:rPr>
              <w:t>$</w:t>
            </w:r>
            <w:r w:rsidR="00BA4CED" w:rsidRPr="00003E69">
              <w:rPr>
                <w:rFonts w:ascii="Arial" w:hAnsi="Arial" w:cs="Arial"/>
              </w:rPr>
              <w:t>36,419</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7895A645" w14:textId="17AA6C50"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34,965</w:t>
            </w:r>
          </w:p>
        </w:tc>
      </w:tr>
      <w:tr w:rsidR="00E42304" w:rsidRPr="001B3A48" w14:paraId="4028AE68"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6D6C2FAB"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6</w:t>
            </w:r>
          </w:p>
        </w:tc>
        <w:tc>
          <w:tcPr>
            <w:tcW w:w="1862" w:type="dxa"/>
            <w:tcBorders>
              <w:top w:val="single" w:sz="6" w:space="0" w:color="auto"/>
              <w:left w:val="single" w:sz="6" w:space="0" w:color="auto"/>
              <w:bottom w:val="single" w:sz="6" w:space="0" w:color="auto"/>
              <w:right w:val="single" w:sz="6" w:space="0" w:color="auto"/>
            </w:tcBorders>
          </w:tcPr>
          <w:p w14:paraId="6A6DAE27" w14:textId="1C66D985"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$4</w:t>
            </w:r>
            <w:r w:rsidR="00003E69" w:rsidRPr="00003E69">
              <w:rPr>
                <w:rFonts w:ascii="Arial" w:hAnsi="Arial" w:cs="Arial"/>
                <w:highlight w:val="yellow"/>
              </w:rPr>
              <w:t>1,960</w:t>
            </w:r>
          </w:p>
        </w:tc>
        <w:tc>
          <w:tcPr>
            <w:tcW w:w="2567" w:type="dxa"/>
            <w:tcBorders>
              <w:top w:val="single" w:sz="6" w:space="0" w:color="auto"/>
              <w:left w:val="single" w:sz="6" w:space="0" w:color="auto"/>
              <w:bottom w:val="single" w:sz="6" w:space="0" w:color="auto"/>
              <w:right w:val="single" w:sz="6" w:space="0" w:color="auto"/>
            </w:tcBorders>
            <w:vAlign w:val="bottom"/>
          </w:tcPr>
          <w:p w14:paraId="0CBEF1E7" w14:textId="4E0D50C7" w:rsidR="00E42304" w:rsidRPr="00003E69" w:rsidRDefault="00E42304" w:rsidP="00E42304">
            <w:pPr>
              <w:jc w:val="center"/>
              <w:rPr>
                <w:rFonts w:ascii="Arial" w:hAnsi="Arial" w:cs="Arial"/>
              </w:rPr>
            </w:pPr>
            <w:r w:rsidRPr="00003E69">
              <w:rPr>
                <w:rFonts w:ascii="Arial" w:hAnsi="Arial" w:cs="Arial"/>
              </w:rPr>
              <w:t>$</w:t>
            </w:r>
            <w:r w:rsidR="003A4342" w:rsidRPr="00003E69">
              <w:rPr>
                <w:rFonts w:ascii="Arial" w:hAnsi="Arial" w:cs="Arial"/>
              </w:rPr>
              <w:t>43,108</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1452D555" w14:textId="7CAEB147"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42,600</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48CECA03" w14:textId="0C59BCF1"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40,889</w:t>
            </w:r>
          </w:p>
        </w:tc>
      </w:tr>
      <w:tr w:rsidR="00E42304" w:rsidRPr="001B3A48" w14:paraId="309ADCD0"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73B79309"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7</w:t>
            </w:r>
          </w:p>
        </w:tc>
        <w:tc>
          <w:tcPr>
            <w:tcW w:w="1862" w:type="dxa"/>
            <w:tcBorders>
              <w:top w:val="single" w:sz="6" w:space="0" w:color="auto"/>
              <w:left w:val="single" w:sz="6" w:space="0" w:color="auto"/>
              <w:bottom w:val="single" w:sz="6" w:space="0" w:color="auto"/>
              <w:right w:val="single" w:sz="6" w:space="0" w:color="auto"/>
            </w:tcBorders>
          </w:tcPr>
          <w:p w14:paraId="6490B681" w14:textId="5B76CA43"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$4</w:t>
            </w:r>
            <w:r w:rsidR="00003E69" w:rsidRPr="00003E69">
              <w:rPr>
                <w:rFonts w:ascii="Arial" w:hAnsi="Arial" w:cs="Arial"/>
                <w:highlight w:val="yellow"/>
              </w:rPr>
              <w:t>7,340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1EB664FB" w14:textId="03EBED90" w:rsidR="003D1CBF" w:rsidRPr="00003E69" w:rsidRDefault="003D1CBF" w:rsidP="003D1CBF">
            <w:pPr>
              <w:jc w:val="center"/>
              <w:rPr>
                <w:rFonts w:ascii="Arial" w:hAnsi="Arial" w:cs="Arial"/>
              </w:rPr>
            </w:pPr>
            <w:r w:rsidRPr="00003E69">
              <w:rPr>
                <w:rFonts w:ascii="Arial" w:hAnsi="Arial" w:cs="Arial"/>
              </w:rPr>
              <w:t>$49,354</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564CBD29" w14:textId="00433697"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48,781</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5901AEC7" w14:textId="01C0CC90"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46,813</w:t>
            </w:r>
          </w:p>
        </w:tc>
      </w:tr>
      <w:tr w:rsidR="00E42304" w:rsidRPr="001B3A48" w14:paraId="3397729A"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4015ED35"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8</w:t>
            </w:r>
          </w:p>
        </w:tc>
        <w:tc>
          <w:tcPr>
            <w:tcW w:w="1862" w:type="dxa"/>
            <w:tcBorders>
              <w:top w:val="single" w:sz="6" w:space="0" w:color="auto"/>
              <w:left w:val="single" w:sz="6" w:space="0" w:color="auto"/>
              <w:bottom w:val="single" w:sz="6" w:space="0" w:color="auto"/>
              <w:right w:val="single" w:sz="6" w:space="0" w:color="auto"/>
            </w:tcBorders>
          </w:tcPr>
          <w:p w14:paraId="2439D556" w14:textId="713D2BC0"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003E69">
              <w:rPr>
                <w:rFonts w:ascii="Arial" w:hAnsi="Arial" w:cs="Arial"/>
                <w:highlight w:val="yellow"/>
              </w:rPr>
              <w:t>$5</w:t>
            </w:r>
            <w:r w:rsidR="00003E69" w:rsidRPr="00003E69">
              <w:rPr>
                <w:rFonts w:ascii="Arial" w:hAnsi="Arial" w:cs="Arial"/>
                <w:highlight w:val="yellow"/>
              </w:rPr>
              <w:t>2,720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59B9F7DE" w14:textId="3C2FF449"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55,600</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4E66DF42" w14:textId="4C8C0EEE"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54,961</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5B8FB81F" w14:textId="36ACA9A6"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52,736</w:t>
            </w:r>
          </w:p>
        </w:tc>
      </w:tr>
      <w:tr w:rsidR="00E42304" w:rsidRPr="001B3A48" w14:paraId="17A12279"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541442A7"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9</w:t>
            </w:r>
          </w:p>
        </w:tc>
        <w:tc>
          <w:tcPr>
            <w:tcW w:w="1862" w:type="dxa"/>
            <w:tcBorders>
              <w:top w:val="single" w:sz="6" w:space="0" w:color="auto"/>
              <w:left w:val="single" w:sz="6" w:space="0" w:color="auto"/>
              <w:bottom w:val="single" w:sz="6" w:space="0" w:color="auto"/>
              <w:right w:val="single" w:sz="6" w:space="0" w:color="auto"/>
            </w:tcBorders>
          </w:tcPr>
          <w:p w14:paraId="284DF02A" w14:textId="2A1549C8"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58,100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51033986" w14:textId="2CFE24D1"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61,845</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03C2A15A" w14:textId="0E449843"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61,142</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5CB49ABD" w14:textId="6A95EB1E"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58,660</w:t>
            </w:r>
          </w:p>
        </w:tc>
      </w:tr>
      <w:tr w:rsidR="00E42304" w:rsidRPr="001B3A48" w14:paraId="256C14B2"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1BB43F52"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10</w:t>
            </w:r>
          </w:p>
        </w:tc>
        <w:tc>
          <w:tcPr>
            <w:tcW w:w="1862" w:type="dxa"/>
            <w:tcBorders>
              <w:top w:val="single" w:sz="6" w:space="0" w:color="auto"/>
              <w:left w:val="single" w:sz="6" w:space="0" w:color="auto"/>
              <w:bottom w:val="single" w:sz="6" w:space="0" w:color="auto"/>
              <w:right w:val="single" w:sz="6" w:space="0" w:color="auto"/>
            </w:tcBorders>
          </w:tcPr>
          <w:p w14:paraId="6CEDEB94" w14:textId="39B697E1"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63,480</w:t>
            </w:r>
          </w:p>
        </w:tc>
        <w:tc>
          <w:tcPr>
            <w:tcW w:w="2567" w:type="dxa"/>
            <w:tcBorders>
              <w:top w:val="single" w:sz="6" w:space="0" w:color="auto"/>
              <w:left w:val="single" w:sz="6" w:space="0" w:color="auto"/>
              <w:bottom w:val="single" w:sz="6" w:space="0" w:color="auto"/>
              <w:right w:val="single" w:sz="6" w:space="0" w:color="auto"/>
            </w:tcBorders>
            <w:vAlign w:val="bottom"/>
          </w:tcPr>
          <w:p w14:paraId="7E736ED8" w14:textId="7CA73A17"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68,091</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2D704BD5" w14:textId="2D3A427D"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67,322</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4819EB7E" w14:textId="13600264"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64,584</w:t>
            </w:r>
          </w:p>
        </w:tc>
      </w:tr>
      <w:tr w:rsidR="00E42304" w:rsidRPr="001B3A48" w14:paraId="0B714F45"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3E62B4ED"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11</w:t>
            </w:r>
          </w:p>
        </w:tc>
        <w:tc>
          <w:tcPr>
            <w:tcW w:w="1862" w:type="dxa"/>
            <w:tcBorders>
              <w:top w:val="single" w:sz="6" w:space="0" w:color="auto"/>
              <w:left w:val="single" w:sz="6" w:space="0" w:color="auto"/>
              <w:bottom w:val="single" w:sz="6" w:space="0" w:color="auto"/>
              <w:right w:val="single" w:sz="6" w:space="0" w:color="auto"/>
            </w:tcBorders>
          </w:tcPr>
          <w:p w14:paraId="6BC3ADC7" w14:textId="58C99616"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68,860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4CEEA8A6" w14:textId="23E099AD"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74,337</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7AC8BDCB" w14:textId="127E2E7C"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73,503</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02261E9E" w14:textId="7314BDFA"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70,508</w:t>
            </w:r>
          </w:p>
        </w:tc>
      </w:tr>
      <w:tr w:rsidR="00E42304" w:rsidRPr="001B3A48" w14:paraId="188ACFB3"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14FAC291"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12</w:t>
            </w:r>
          </w:p>
        </w:tc>
        <w:tc>
          <w:tcPr>
            <w:tcW w:w="1862" w:type="dxa"/>
            <w:tcBorders>
              <w:top w:val="single" w:sz="6" w:space="0" w:color="auto"/>
              <w:left w:val="single" w:sz="6" w:space="0" w:color="auto"/>
              <w:bottom w:val="single" w:sz="6" w:space="0" w:color="auto"/>
              <w:right w:val="single" w:sz="6" w:space="0" w:color="auto"/>
            </w:tcBorders>
          </w:tcPr>
          <w:p w14:paraId="7306FD7E" w14:textId="7A713600"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$7</w:t>
            </w:r>
            <w:r w:rsidR="00875C3C" w:rsidRPr="00875C3C">
              <w:rPr>
                <w:rFonts w:ascii="Arial" w:hAnsi="Arial" w:cs="Arial"/>
                <w:highlight w:val="yellow"/>
              </w:rPr>
              <w:t>4,240</w:t>
            </w:r>
          </w:p>
        </w:tc>
        <w:tc>
          <w:tcPr>
            <w:tcW w:w="2567" w:type="dxa"/>
            <w:tcBorders>
              <w:top w:val="single" w:sz="6" w:space="0" w:color="auto"/>
              <w:left w:val="single" w:sz="6" w:space="0" w:color="auto"/>
              <w:bottom w:val="single" w:sz="6" w:space="0" w:color="auto"/>
              <w:right w:val="single" w:sz="6" w:space="0" w:color="auto"/>
            </w:tcBorders>
            <w:vAlign w:val="bottom"/>
          </w:tcPr>
          <w:p w14:paraId="6E37D101" w14:textId="18455F72"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80,583</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6E5A101E" w14:textId="3157D71A"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79,684</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10293960" w14:textId="567EAB83"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76,432</w:t>
            </w:r>
          </w:p>
        </w:tc>
      </w:tr>
      <w:tr w:rsidR="00E42304" w:rsidRPr="001B3A48" w14:paraId="170F8CFF"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204EC5DE"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13</w:t>
            </w:r>
          </w:p>
        </w:tc>
        <w:tc>
          <w:tcPr>
            <w:tcW w:w="1862" w:type="dxa"/>
            <w:tcBorders>
              <w:top w:val="single" w:sz="6" w:space="0" w:color="auto"/>
              <w:left w:val="single" w:sz="6" w:space="0" w:color="auto"/>
              <w:bottom w:val="single" w:sz="6" w:space="0" w:color="auto"/>
              <w:right w:val="single" w:sz="6" w:space="0" w:color="auto"/>
            </w:tcBorders>
          </w:tcPr>
          <w:p w14:paraId="0909A633" w14:textId="72F3E80F"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79,620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5239B01E" w14:textId="431DAAEC"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86,829</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0A265494" w14:textId="7CD97C79"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85,864</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7B8777E5" w14:textId="3D355CBA"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82,355</w:t>
            </w:r>
          </w:p>
        </w:tc>
      </w:tr>
      <w:tr w:rsidR="00E42304" w:rsidRPr="001B3A48" w14:paraId="1BEF1241"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4AA0CF67"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14</w:t>
            </w:r>
          </w:p>
        </w:tc>
        <w:tc>
          <w:tcPr>
            <w:tcW w:w="1862" w:type="dxa"/>
            <w:tcBorders>
              <w:top w:val="single" w:sz="6" w:space="0" w:color="auto"/>
              <w:left w:val="single" w:sz="6" w:space="0" w:color="auto"/>
              <w:bottom w:val="single" w:sz="6" w:space="0" w:color="auto"/>
              <w:right w:val="single" w:sz="6" w:space="0" w:color="auto"/>
            </w:tcBorders>
          </w:tcPr>
          <w:p w14:paraId="1641882C" w14:textId="2140B176"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$8</w:t>
            </w:r>
            <w:r w:rsidR="00875C3C" w:rsidRPr="00875C3C">
              <w:rPr>
                <w:rFonts w:ascii="Arial" w:hAnsi="Arial" w:cs="Arial"/>
                <w:highlight w:val="yellow"/>
              </w:rPr>
              <w:t>5,000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6B11CD15" w14:textId="70BE2D47" w:rsidR="00E42304" w:rsidRPr="00003E69" w:rsidRDefault="00E42304" w:rsidP="00E42304">
            <w:pPr>
              <w:jc w:val="center"/>
              <w:rPr>
                <w:rFonts w:ascii="Arial" w:hAnsi="Arial" w:cs="Arial"/>
              </w:rPr>
            </w:pPr>
            <w:r w:rsidRPr="00003E69">
              <w:rPr>
                <w:rFonts w:ascii="Arial" w:hAnsi="Arial" w:cs="Arial"/>
              </w:rPr>
              <w:t>$</w:t>
            </w:r>
            <w:r w:rsidR="003D1CBF" w:rsidRPr="00003E69">
              <w:rPr>
                <w:rFonts w:ascii="Arial" w:hAnsi="Arial" w:cs="Arial"/>
              </w:rPr>
              <w:t>93,075</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24F59B50" w14:textId="0F5474B8"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92,045</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7D540920" w14:textId="60BD3BA3" w:rsidR="00E42304" w:rsidRPr="00003E69" w:rsidRDefault="00E42304" w:rsidP="00E42304">
            <w:pPr>
              <w:jc w:val="center"/>
              <w:rPr>
                <w:rFonts w:ascii="Arial" w:hAnsi="Arial" w:cs="Arial"/>
              </w:rPr>
            </w:pPr>
            <w:r w:rsidRPr="00003E69">
              <w:rPr>
                <w:rFonts w:ascii="Arial" w:hAnsi="Arial" w:cs="Arial"/>
              </w:rPr>
              <w:t>$</w:t>
            </w:r>
            <w:r w:rsidR="00FF7359" w:rsidRPr="00003E69">
              <w:rPr>
                <w:rFonts w:ascii="Arial" w:hAnsi="Arial" w:cs="Arial"/>
              </w:rPr>
              <w:t>88,279</w:t>
            </w:r>
          </w:p>
        </w:tc>
      </w:tr>
      <w:tr w:rsidR="00E42304" w:rsidRPr="001B3A48" w14:paraId="0552B5B3"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3D9C0461"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15</w:t>
            </w:r>
          </w:p>
        </w:tc>
        <w:tc>
          <w:tcPr>
            <w:tcW w:w="1862" w:type="dxa"/>
            <w:tcBorders>
              <w:top w:val="single" w:sz="6" w:space="0" w:color="auto"/>
              <w:left w:val="single" w:sz="6" w:space="0" w:color="auto"/>
              <w:bottom w:val="single" w:sz="6" w:space="0" w:color="auto"/>
              <w:right w:val="single" w:sz="6" w:space="0" w:color="auto"/>
            </w:tcBorders>
          </w:tcPr>
          <w:p w14:paraId="2560E2FE" w14:textId="1B96443F"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90,380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10F0F761" w14:textId="2A19358F"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99,321</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074EF432" w14:textId="5C97A974"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98,226</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7AFADF3A" w14:textId="35244A2E"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94,203</w:t>
            </w:r>
          </w:p>
        </w:tc>
      </w:tr>
      <w:tr w:rsidR="00E42304" w:rsidRPr="001B3A48" w14:paraId="07144BE8"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511150CB"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16</w:t>
            </w:r>
          </w:p>
        </w:tc>
        <w:tc>
          <w:tcPr>
            <w:tcW w:w="1862" w:type="dxa"/>
            <w:tcBorders>
              <w:top w:val="single" w:sz="6" w:space="0" w:color="auto"/>
              <w:left w:val="single" w:sz="6" w:space="0" w:color="auto"/>
              <w:bottom w:val="single" w:sz="6" w:space="0" w:color="auto"/>
              <w:right w:val="single" w:sz="6" w:space="0" w:color="auto"/>
            </w:tcBorders>
          </w:tcPr>
          <w:p w14:paraId="20556180" w14:textId="26D7D7C4"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95,760</w:t>
            </w:r>
          </w:p>
        </w:tc>
        <w:tc>
          <w:tcPr>
            <w:tcW w:w="2567" w:type="dxa"/>
            <w:tcBorders>
              <w:top w:val="single" w:sz="6" w:space="0" w:color="auto"/>
              <w:left w:val="single" w:sz="6" w:space="0" w:color="auto"/>
              <w:bottom w:val="single" w:sz="6" w:space="0" w:color="auto"/>
              <w:right w:val="single" w:sz="6" w:space="0" w:color="auto"/>
            </w:tcBorders>
            <w:vAlign w:val="bottom"/>
          </w:tcPr>
          <w:p w14:paraId="068A389B" w14:textId="66642D32"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105,567</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7FAA4242" w14:textId="5BF71DE5"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104,406</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41BCE7C5" w14:textId="31C9207C"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100,127</w:t>
            </w:r>
          </w:p>
        </w:tc>
      </w:tr>
      <w:tr w:rsidR="00E42304" w:rsidRPr="001B3A48" w14:paraId="7EE9CF7D" w14:textId="77777777" w:rsidTr="00C101EC">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30B0C6DE"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17</w:t>
            </w:r>
          </w:p>
        </w:tc>
        <w:tc>
          <w:tcPr>
            <w:tcW w:w="1862" w:type="dxa"/>
            <w:tcBorders>
              <w:top w:val="single" w:sz="6" w:space="0" w:color="auto"/>
              <w:left w:val="single" w:sz="6" w:space="0" w:color="auto"/>
              <w:bottom w:val="single" w:sz="6" w:space="0" w:color="auto"/>
              <w:right w:val="single" w:sz="6" w:space="0" w:color="auto"/>
            </w:tcBorders>
          </w:tcPr>
          <w:p w14:paraId="08CA0659" w14:textId="0464F23D"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w:t>
            </w:r>
            <w:r w:rsidR="00875C3C" w:rsidRPr="00875C3C">
              <w:rPr>
                <w:rFonts w:ascii="Arial" w:hAnsi="Arial" w:cs="Arial"/>
                <w:highlight w:val="yellow"/>
              </w:rPr>
              <w:t>101,140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496233B0" w14:textId="2ABF63F6"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111,812</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5765B8FC" w14:textId="0A5078D7"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110,187</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74767169" w14:textId="3911857B"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106,051</w:t>
            </w:r>
          </w:p>
        </w:tc>
      </w:tr>
      <w:tr w:rsidR="00E42304" w:rsidRPr="001B3A48" w14:paraId="4A75F915" w14:textId="77777777" w:rsidTr="007F5DE6">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6AC9E279"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lastRenderedPageBreak/>
              <w:t>18</w:t>
            </w:r>
          </w:p>
        </w:tc>
        <w:tc>
          <w:tcPr>
            <w:tcW w:w="1862" w:type="dxa"/>
            <w:tcBorders>
              <w:top w:val="single" w:sz="6" w:space="0" w:color="auto"/>
              <w:left w:val="single" w:sz="6" w:space="0" w:color="auto"/>
              <w:bottom w:val="single" w:sz="6" w:space="0" w:color="auto"/>
              <w:right w:val="single" w:sz="6" w:space="0" w:color="auto"/>
            </w:tcBorders>
          </w:tcPr>
          <w:p w14:paraId="5E0223BB" w14:textId="332283CF"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$10</w:t>
            </w:r>
            <w:r w:rsidR="00875C3C" w:rsidRPr="00875C3C">
              <w:rPr>
                <w:rFonts w:ascii="Arial" w:hAnsi="Arial" w:cs="Arial"/>
                <w:highlight w:val="yellow"/>
              </w:rPr>
              <w:t>6,520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1321ACCE" w14:textId="59B448A5"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118,058</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0DEF1595" w14:textId="4B37A814"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116,767</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281BB831" w14:textId="40CB0F78"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111,974</w:t>
            </w:r>
          </w:p>
        </w:tc>
      </w:tr>
      <w:tr w:rsidR="00E42304" w:rsidRPr="001B3A48" w14:paraId="4A795720" w14:textId="77777777" w:rsidTr="007F5DE6">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2AE166D5"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19</w:t>
            </w:r>
          </w:p>
        </w:tc>
        <w:tc>
          <w:tcPr>
            <w:tcW w:w="1862" w:type="dxa"/>
            <w:tcBorders>
              <w:top w:val="single" w:sz="6" w:space="0" w:color="auto"/>
              <w:left w:val="single" w:sz="6" w:space="0" w:color="auto"/>
              <w:bottom w:val="single" w:sz="6" w:space="0" w:color="auto"/>
              <w:right w:val="single" w:sz="6" w:space="0" w:color="auto"/>
            </w:tcBorders>
          </w:tcPr>
          <w:p w14:paraId="2432C8CE" w14:textId="779730C3"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$1</w:t>
            </w:r>
            <w:r w:rsidR="00875C3C" w:rsidRPr="00875C3C">
              <w:rPr>
                <w:rFonts w:ascii="Arial" w:hAnsi="Arial" w:cs="Arial"/>
                <w:highlight w:val="yellow"/>
              </w:rPr>
              <w:t>11,900</w:t>
            </w:r>
            <w:r w:rsidRPr="003D1CBF">
              <w:rPr>
                <w:rFonts w:ascii="Arial" w:hAnsi="Arial" w:cs="Arial"/>
              </w:rPr>
              <w:t xml:space="preserve"> </w:t>
            </w:r>
          </w:p>
        </w:tc>
        <w:tc>
          <w:tcPr>
            <w:tcW w:w="2567" w:type="dxa"/>
            <w:tcBorders>
              <w:top w:val="single" w:sz="6" w:space="0" w:color="auto"/>
              <w:left w:val="single" w:sz="6" w:space="0" w:color="auto"/>
              <w:bottom w:val="single" w:sz="6" w:space="0" w:color="auto"/>
              <w:right w:val="single" w:sz="6" w:space="0" w:color="auto"/>
            </w:tcBorders>
            <w:vAlign w:val="bottom"/>
          </w:tcPr>
          <w:p w14:paraId="4B4E4EFE" w14:textId="5CA4CAF6"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124,304</w:t>
            </w:r>
          </w:p>
        </w:tc>
        <w:tc>
          <w:tcPr>
            <w:tcW w:w="1788" w:type="dxa"/>
            <w:tcBorders>
              <w:top w:val="single" w:sz="6" w:space="0" w:color="auto"/>
              <w:left w:val="single" w:sz="6" w:space="0" w:color="auto"/>
              <w:bottom w:val="single" w:sz="6" w:space="0" w:color="auto"/>
              <w:right w:val="single" w:sz="6" w:space="0" w:color="auto"/>
            </w:tcBorders>
            <w:tcMar>
              <w:right w:w="29" w:type="dxa"/>
            </w:tcMar>
          </w:tcPr>
          <w:p w14:paraId="16393D0B" w14:textId="336335EF"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122,948</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2CE78F83" w14:textId="78665EDE" w:rsidR="00E42304" w:rsidRPr="00875C3C" w:rsidRDefault="00E42304" w:rsidP="00E42304">
            <w:pPr>
              <w:jc w:val="center"/>
              <w:rPr>
                <w:rFonts w:ascii="Arial" w:hAnsi="Arial" w:cs="Arial"/>
              </w:rPr>
            </w:pPr>
            <w:r w:rsidRPr="00875C3C">
              <w:rPr>
                <w:rFonts w:ascii="Arial" w:hAnsi="Arial" w:cs="Arial"/>
              </w:rPr>
              <w:t>$</w:t>
            </w:r>
            <w:r w:rsidR="00DC2286" w:rsidRPr="00875C3C">
              <w:rPr>
                <w:rFonts w:ascii="Arial" w:hAnsi="Arial" w:cs="Arial"/>
              </w:rPr>
              <w:t>117,898</w:t>
            </w:r>
          </w:p>
        </w:tc>
      </w:tr>
      <w:tr w:rsidR="00E42304" w:rsidRPr="001B3A48" w14:paraId="1C58C0F4" w14:textId="77777777" w:rsidTr="007F5DE6">
        <w:trPr>
          <w:trHeight w:val="300"/>
        </w:trPr>
        <w:tc>
          <w:tcPr>
            <w:tcW w:w="1487" w:type="dxa"/>
            <w:tcBorders>
              <w:top w:val="single" w:sz="6" w:space="0" w:color="auto"/>
              <w:left w:val="single" w:sz="6" w:space="0" w:color="auto"/>
              <w:bottom w:val="single" w:sz="6" w:space="0" w:color="auto"/>
              <w:right w:val="single" w:sz="6" w:space="0" w:color="auto"/>
            </w:tcBorders>
            <w:vAlign w:val="center"/>
          </w:tcPr>
          <w:p w14:paraId="2C104BDB" w14:textId="77777777" w:rsidR="00E42304" w:rsidRPr="00A16633" w:rsidRDefault="00E42304" w:rsidP="00E42304">
            <w:pPr>
              <w:widowControl w:val="0"/>
              <w:tabs>
                <w:tab w:val="left" w:pos="2880"/>
              </w:tabs>
              <w:autoSpaceDE w:val="0"/>
              <w:autoSpaceDN w:val="0"/>
              <w:adjustRightInd w:val="0"/>
              <w:jc w:val="center"/>
              <w:rPr>
                <w:rFonts w:ascii="Arial" w:hAnsi="Arial" w:cs="Arial"/>
              </w:rPr>
            </w:pPr>
            <w:r w:rsidRPr="00A16633">
              <w:rPr>
                <w:rFonts w:ascii="Arial" w:hAnsi="Arial" w:cs="Arial"/>
              </w:rPr>
              <w:t>20</w:t>
            </w:r>
          </w:p>
        </w:tc>
        <w:tc>
          <w:tcPr>
            <w:tcW w:w="1862" w:type="dxa"/>
            <w:tcBorders>
              <w:top w:val="single" w:sz="6" w:space="0" w:color="auto"/>
              <w:left w:val="single" w:sz="6" w:space="0" w:color="auto"/>
              <w:bottom w:val="single" w:sz="6" w:space="0" w:color="auto"/>
              <w:right w:val="single" w:sz="6" w:space="0" w:color="auto"/>
            </w:tcBorders>
          </w:tcPr>
          <w:p w14:paraId="083AD340" w14:textId="6AA8E8F5" w:rsidR="00E42304" w:rsidRPr="003D1CBF" w:rsidRDefault="00E42304" w:rsidP="00E42304">
            <w:pPr>
              <w:widowControl w:val="0"/>
              <w:tabs>
                <w:tab w:val="left" w:pos="2880"/>
              </w:tabs>
              <w:autoSpaceDE w:val="0"/>
              <w:autoSpaceDN w:val="0"/>
              <w:adjustRightInd w:val="0"/>
              <w:jc w:val="center"/>
              <w:rPr>
                <w:rFonts w:ascii="Arial" w:hAnsi="Arial" w:cs="Arial"/>
              </w:rPr>
            </w:pPr>
            <w:r w:rsidRPr="003D1CBF">
              <w:rPr>
                <w:rFonts w:ascii="Arial" w:hAnsi="Arial" w:cs="Arial"/>
              </w:rPr>
              <w:t xml:space="preserve"> </w:t>
            </w:r>
            <w:r w:rsidRPr="00875C3C">
              <w:rPr>
                <w:rFonts w:ascii="Arial" w:hAnsi="Arial" w:cs="Arial"/>
                <w:highlight w:val="yellow"/>
              </w:rPr>
              <w:t>$11</w:t>
            </w:r>
            <w:r w:rsidR="00875C3C" w:rsidRPr="00875C3C">
              <w:rPr>
                <w:rFonts w:ascii="Arial" w:hAnsi="Arial" w:cs="Arial"/>
                <w:highlight w:val="yellow"/>
              </w:rPr>
              <w:t>7,280</w:t>
            </w:r>
          </w:p>
        </w:tc>
        <w:tc>
          <w:tcPr>
            <w:tcW w:w="2567" w:type="dxa"/>
            <w:tcBorders>
              <w:top w:val="single" w:sz="6" w:space="0" w:color="auto"/>
              <w:left w:val="single" w:sz="6" w:space="0" w:color="auto"/>
              <w:bottom w:val="single" w:sz="6" w:space="0" w:color="auto"/>
              <w:right w:val="single" w:sz="6" w:space="0" w:color="auto"/>
            </w:tcBorders>
            <w:vAlign w:val="bottom"/>
          </w:tcPr>
          <w:p w14:paraId="53C6E4B0" w14:textId="6B331642" w:rsidR="00E42304" w:rsidRPr="00875C3C" w:rsidRDefault="00E42304" w:rsidP="00E42304">
            <w:pPr>
              <w:jc w:val="center"/>
              <w:rPr>
                <w:rFonts w:ascii="Arial" w:hAnsi="Arial" w:cs="Arial"/>
              </w:rPr>
            </w:pPr>
            <w:r w:rsidRPr="00875C3C">
              <w:rPr>
                <w:rFonts w:ascii="Arial" w:hAnsi="Arial" w:cs="Arial"/>
              </w:rPr>
              <w:t>$</w:t>
            </w:r>
            <w:r w:rsidR="003D1CBF" w:rsidRPr="00875C3C">
              <w:rPr>
                <w:rFonts w:ascii="Arial" w:hAnsi="Arial" w:cs="Arial"/>
              </w:rPr>
              <w:t>130,550</w:t>
            </w:r>
          </w:p>
        </w:tc>
        <w:tc>
          <w:tcPr>
            <w:tcW w:w="1788" w:type="dxa"/>
            <w:tcBorders>
              <w:top w:val="single" w:sz="6" w:space="0" w:color="auto"/>
              <w:left w:val="single" w:sz="6" w:space="0" w:color="auto"/>
              <w:bottom w:val="single" w:sz="6" w:space="0" w:color="auto"/>
              <w:right w:val="single" w:sz="6" w:space="0" w:color="auto"/>
            </w:tcBorders>
            <w:tcMar>
              <w:right w:w="29" w:type="dxa"/>
            </w:tcMar>
            <w:vAlign w:val="bottom"/>
          </w:tcPr>
          <w:p w14:paraId="104014C0" w14:textId="61E426BC" w:rsidR="00E42304" w:rsidRPr="00875C3C" w:rsidRDefault="00E42304" w:rsidP="00E42304">
            <w:pPr>
              <w:jc w:val="center"/>
              <w:rPr>
                <w:rFonts w:ascii="Arial" w:hAnsi="Arial" w:cs="Arial"/>
              </w:rPr>
            </w:pPr>
            <w:r w:rsidRPr="00875C3C">
              <w:rPr>
                <w:rFonts w:ascii="Arial" w:hAnsi="Arial" w:cs="Arial"/>
              </w:rPr>
              <w:t>$</w:t>
            </w:r>
            <w:r w:rsidR="00FF7359" w:rsidRPr="00875C3C">
              <w:rPr>
                <w:rFonts w:ascii="Arial" w:hAnsi="Arial" w:cs="Arial"/>
              </w:rPr>
              <w:t>129,129</w:t>
            </w:r>
          </w:p>
        </w:tc>
        <w:tc>
          <w:tcPr>
            <w:tcW w:w="1907" w:type="dxa"/>
            <w:tcBorders>
              <w:top w:val="single" w:sz="6" w:space="0" w:color="auto"/>
              <w:left w:val="single" w:sz="6" w:space="0" w:color="auto"/>
              <w:bottom w:val="single" w:sz="6" w:space="0" w:color="auto"/>
              <w:right w:val="single" w:sz="6" w:space="0" w:color="auto"/>
            </w:tcBorders>
            <w:tcMar>
              <w:right w:w="29" w:type="dxa"/>
            </w:tcMar>
          </w:tcPr>
          <w:p w14:paraId="0568B0F1" w14:textId="529C39E7" w:rsidR="00E42304" w:rsidRPr="00875C3C" w:rsidRDefault="00E42304" w:rsidP="00E42304">
            <w:pPr>
              <w:jc w:val="center"/>
              <w:rPr>
                <w:rFonts w:ascii="Arial" w:hAnsi="Arial" w:cs="Arial"/>
              </w:rPr>
            </w:pPr>
            <w:r w:rsidRPr="00875C3C">
              <w:rPr>
                <w:rFonts w:ascii="Arial" w:hAnsi="Arial" w:cs="Arial"/>
              </w:rPr>
              <w:t>$</w:t>
            </w:r>
            <w:r w:rsidR="00DC2286" w:rsidRPr="00875C3C">
              <w:rPr>
                <w:rFonts w:ascii="Arial" w:hAnsi="Arial" w:cs="Arial"/>
              </w:rPr>
              <w:t>123,822</w:t>
            </w:r>
          </w:p>
        </w:tc>
      </w:tr>
      <w:tr w:rsidR="00D72458" w:rsidRPr="00CF7272" w14:paraId="00CC2C1C" w14:textId="77777777" w:rsidTr="00D72458">
        <w:trPr>
          <w:trHeight w:val="506"/>
        </w:trPr>
        <w:tc>
          <w:tcPr>
            <w:tcW w:w="9611" w:type="dxa"/>
            <w:gridSpan w:val="5"/>
            <w:tcBorders>
              <w:top w:val="nil"/>
              <w:left w:val="nil"/>
              <w:right w:val="nil"/>
            </w:tcBorders>
          </w:tcPr>
          <w:p w14:paraId="13EF1B59" w14:textId="77777777" w:rsidR="00A16633" w:rsidRPr="0055652E" w:rsidRDefault="00A16633" w:rsidP="00D72458">
            <w:pPr>
              <w:widowControl w:val="0"/>
              <w:tabs>
                <w:tab w:val="left" w:pos="2880"/>
              </w:tabs>
              <w:autoSpaceDE w:val="0"/>
              <w:autoSpaceDN w:val="0"/>
              <w:adjustRightInd w:val="0"/>
              <w:rPr>
                <w:rFonts w:ascii="Times New Roman" w:hAnsi="Times New Roman" w:cs="Times New Roman"/>
                <w:b/>
                <w:bCs/>
              </w:rPr>
            </w:pPr>
          </w:p>
          <w:p w14:paraId="56F8DC7A" w14:textId="77777777" w:rsidR="00D72458" w:rsidRPr="0055652E" w:rsidRDefault="00D72458" w:rsidP="00D72458">
            <w:pPr>
              <w:widowControl w:val="0"/>
              <w:tabs>
                <w:tab w:val="left" w:pos="2880"/>
              </w:tabs>
              <w:autoSpaceDE w:val="0"/>
              <w:autoSpaceDN w:val="0"/>
              <w:adjustRightInd w:val="0"/>
              <w:rPr>
                <w:rFonts w:ascii="Times New Roman" w:hAnsi="Times New Roman" w:cs="Times New Roman"/>
                <w:b/>
                <w:bCs/>
              </w:rPr>
            </w:pPr>
            <w:r w:rsidRPr="0055652E">
              <w:rPr>
                <w:rFonts w:ascii="Times New Roman" w:hAnsi="Times New Roman" w:cs="Times New Roman"/>
                <w:b/>
                <w:bCs/>
              </w:rPr>
              <w:t>Footnotes:</w:t>
            </w:r>
          </w:p>
          <w:p w14:paraId="242F2889" w14:textId="77777777" w:rsidR="00D72458" w:rsidRPr="00875C3C" w:rsidRDefault="00D72458" w:rsidP="00D72458">
            <w:pPr>
              <w:widowControl w:val="0"/>
              <w:numPr>
                <w:ilvl w:val="0"/>
                <w:numId w:val="8"/>
              </w:numPr>
              <w:tabs>
                <w:tab w:val="left" w:pos="480"/>
              </w:tabs>
              <w:autoSpaceDE w:val="0"/>
              <w:autoSpaceDN w:val="0"/>
              <w:adjustRightInd w:val="0"/>
              <w:spacing w:after="0" w:line="240" w:lineRule="auto"/>
              <w:ind w:left="480"/>
              <w:rPr>
                <w:rFonts w:ascii="Times New Roman" w:hAnsi="Times New Roman" w:cs="Times New Roman"/>
              </w:rPr>
            </w:pPr>
            <w:r w:rsidRPr="00875C3C">
              <w:rPr>
                <w:rFonts w:ascii="Times New Roman" w:hAnsi="Times New Roman" w:cs="Times New Roman"/>
              </w:rPr>
              <w:t>The poverty level may be used for families residing anywhere in Minnesota.</w:t>
            </w:r>
          </w:p>
          <w:p w14:paraId="4032DF0B" w14:textId="489BD1CC" w:rsidR="00D72458" w:rsidRPr="00875C3C" w:rsidRDefault="00D72458" w:rsidP="00D72458">
            <w:pPr>
              <w:widowControl w:val="0"/>
              <w:numPr>
                <w:ilvl w:val="0"/>
                <w:numId w:val="8"/>
              </w:numPr>
              <w:tabs>
                <w:tab w:val="left" w:pos="480"/>
              </w:tabs>
              <w:autoSpaceDE w:val="0"/>
              <w:autoSpaceDN w:val="0"/>
              <w:adjustRightInd w:val="0"/>
              <w:spacing w:after="0" w:line="240" w:lineRule="auto"/>
              <w:ind w:left="480"/>
              <w:rPr>
                <w:rFonts w:ascii="Times New Roman" w:hAnsi="Times New Roman" w:cs="Times New Roman"/>
              </w:rPr>
            </w:pPr>
            <w:r w:rsidRPr="00875C3C">
              <w:rPr>
                <w:rFonts w:ascii="Times New Roman" w:hAnsi="Times New Roman" w:cs="Times New Roman"/>
              </w:rPr>
              <w:t>Minneapolis/St. Paul</w:t>
            </w:r>
            <w:r w:rsidR="00DC2286" w:rsidRPr="00875C3C">
              <w:rPr>
                <w:rFonts w:ascii="Times New Roman" w:hAnsi="Times New Roman" w:cs="Times New Roman"/>
              </w:rPr>
              <w:t>/Bloomington WI/MN</w:t>
            </w:r>
            <w:r w:rsidRPr="00875C3C">
              <w:rPr>
                <w:rFonts w:ascii="Times New Roman" w:hAnsi="Times New Roman" w:cs="Times New Roman"/>
              </w:rPr>
              <w:t xml:space="preserve"> MSA LLSIL </w:t>
            </w:r>
            <w:r w:rsidRPr="00875C3C">
              <w:rPr>
                <w:rFonts w:ascii="Times New Roman" w:hAnsi="Times New Roman" w:cs="Times New Roman"/>
                <w:b/>
              </w:rPr>
              <w:t>MUST</w:t>
            </w:r>
            <w:r w:rsidRPr="00875C3C">
              <w:rPr>
                <w:rFonts w:ascii="Times New Roman" w:hAnsi="Times New Roman" w:cs="Times New Roman"/>
              </w:rPr>
              <w:t xml:space="preserve"> be used for families residing in the following Minnesota counties: Anoka, Carver, Chisago, Dakota, Hennepin, Isanti, </w:t>
            </w:r>
            <w:proofErr w:type="spellStart"/>
            <w:r w:rsidR="002539E9" w:rsidRPr="00875C3C">
              <w:rPr>
                <w:rFonts w:ascii="Times New Roman" w:hAnsi="Times New Roman" w:cs="Times New Roman"/>
              </w:rPr>
              <w:t>LeSueur</w:t>
            </w:r>
            <w:proofErr w:type="spellEnd"/>
            <w:r w:rsidR="002539E9" w:rsidRPr="00875C3C">
              <w:rPr>
                <w:rFonts w:ascii="Times New Roman" w:hAnsi="Times New Roman" w:cs="Times New Roman"/>
              </w:rPr>
              <w:t xml:space="preserve">, Mille Lacs, </w:t>
            </w:r>
            <w:r w:rsidRPr="00875C3C">
              <w:rPr>
                <w:rFonts w:ascii="Times New Roman" w:hAnsi="Times New Roman" w:cs="Times New Roman"/>
              </w:rPr>
              <w:t xml:space="preserve">Ramsey, Scott, Sherburne, </w:t>
            </w:r>
            <w:r w:rsidR="002539E9" w:rsidRPr="00875C3C">
              <w:rPr>
                <w:rFonts w:ascii="Times New Roman" w:hAnsi="Times New Roman" w:cs="Times New Roman"/>
              </w:rPr>
              <w:t xml:space="preserve">Sibley, </w:t>
            </w:r>
            <w:r w:rsidRPr="00875C3C">
              <w:rPr>
                <w:rFonts w:ascii="Times New Roman" w:hAnsi="Times New Roman" w:cs="Times New Roman"/>
              </w:rPr>
              <w:t xml:space="preserve">Washington or Wright </w:t>
            </w:r>
            <w:r w:rsidRPr="00875C3C">
              <w:rPr>
                <w:rFonts w:ascii="Times New Roman" w:hAnsi="Times New Roman" w:cs="Times New Roman"/>
                <w:b/>
              </w:rPr>
              <w:t>(unless Poverty Level is used)</w:t>
            </w:r>
            <w:r w:rsidRPr="00875C3C">
              <w:rPr>
                <w:rFonts w:ascii="Times New Roman" w:hAnsi="Times New Roman" w:cs="Times New Roman"/>
              </w:rPr>
              <w:t>.</w:t>
            </w:r>
          </w:p>
          <w:p w14:paraId="7AA38993" w14:textId="6D4957F9" w:rsidR="00D72458" w:rsidRPr="00875C3C" w:rsidRDefault="00D72458" w:rsidP="00960561">
            <w:pPr>
              <w:widowControl w:val="0"/>
              <w:numPr>
                <w:ilvl w:val="0"/>
                <w:numId w:val="8"/>
              </w:numPr>
              <w:tabs>
                <w:tab w:val="left" w:pos="480"/>
              </w:tabs>
              <w:autoSpaceDE w:val="0"/>
              <w:autoSpaceDN w:val="0"/>
              <w:adjustRightInd w:val="0"/>
              <w:spacing w:after="0" w:line="240" w:lineRule="auto"/>
              <w:ind w:left="480"/>
              <w:rPr>
                <w:rFonts w:ascii="Times New Roman" w:hAnsi="Times New Roman" w:cs="Times New Roman"/>
              </w:rPr>
            </w:pPr>
            <w:r w:rsidRPr="00875C3C">
              <w:rPr>
                <w:rFonts w:ascii="Times New Roman" w:hAnsi="Times New Roman" w:cs="Times New Roman"/>
              </w:rPr>
              <w:t xml:space="preserve">The Metro 70% LLSIL </w:t>
            </w:r>
            <w:r w:rsidRPr="00875C3C">
              <w:rPr>
                <w:rFonts w:ascii="Times New Roman" w:hAnsi="Times New Roman" w:cs="Times New Roman"/>
                <w:b/>
              </w:rPr>
              <w:t>MUST</w:t>
            </w:r>
            <w:r w:rsidRPr="00875C3C">
              <w:rPr>
                <w:rFonts w:ascii="Times New Roman" w:hAnsi="Times New Roman" w:cs="Times New Roman"/>
              </w:rPr>
              <w:t xml:space="preserve"> be used for families residing in the following Minnesota counties: Benton, </w:t>
            </w:r>
            <w:r w:rsidR="002539E9" w:rsidRPr="00875C3C">
              <w:rPr>
                <w:rFonts w:ascii="Times New Roman" w:hAnsi="Times New Roman" w:cs="Times New Roman"/>
              </w:rPr>
              <w:t xml:space="preserve">Blue Earth, Carlton, </w:t>
            </w:r>
            <w:r w:rsidRPr="00875C3C">
              <w:rPr>
                <w:rFonts w:ascii="Times New Roman" w:hAnsi="Times New Roman" w:cs="Times New Roman"/>
              </w:rPr>
              <w:t xml:space="preserve">Clay, </w:t>
            </w:r>
            <w:r w:rsidR="002539E9" w:rsidRPr="00875C3C">
              <w:rPr>
                <w:rFonts w:ascii="Times New Roman" w:hAnsi="Times New Roman" w:cs="Times New Roman"/>
              </w:rPr>
              <w:t xml:space="preserve">Dodge, Fillmore, Houston, Nicollet, </w:t>
            </w:r>
            <w:r w:rsidRPr="00875C3C">
              <w:rPr>
                <w:rFonts w:ascii="Times New Roman" w:hAnsi="Times New Roman" w:cs="Times New Roman"/>
              </w:rPr>
              <w:t>Olmsted, Polk, St. Louis</w:t>
            </w:r>
            <w:r w:rsidR="002539E9" w:rsidRPr="00875C3C">
              <w:rPr>
                <w:rFonts w:ascii="Times New Roman" w:hAnsi="Times New Roman" w:cs="Times New Roman"/>
              </w:rPr>
              <w:t>,</w:t>
            </w:r>
            <w:r w:rsidRPr="00875C3C">
              <w:rPr>
                <w:rFonts w:ascii="Times New Roman" w:hAnsi="Times New Roman" w:cs="Times New Roman"/>
              </w:rPr>
              <w:t xml:space="preserve"> Stearns</w:t>
            </w:r>
            <w:r w:rsidR="002539E9" w:rsidRPr="00875C3C">
              <w:rPr>
                <w:rFonts w:ascii="Times New Roman" w:hAnsi="Times New Roman" w:cs="Times New Roman"/>
              </w:rPr>
              <w:t xml:space="preserve"> or Wabasha</w:t>
            </w:r>
            <w:r w:rsidRPr="00875C3C">
              <w:rPr>
                <w:rFonts w:ascii="Times New Roman" w:hAnsi="Times New Roman" w:cs="Times New Roman"/>
              </w:rPr>
              <w:t xml:space="preserve"> </w:t>
            </w:r>
            <w:r w:rsidRPr="00875C3C">
              <w:rPr>
                <w:rFonts w:ascii="Times New Roman" w:hAnsi="Times New Roman" w:cs="Times New Roman"/>
                <w:b/>
              </w:rPr>
              <w:t>(unless Poverty Level is used)</w:t>
            </w:r>
            <w:r w:rsidRPr="00875C3C">
              <w:rPr>
                <w:rFonts w:ascii="Times New Roman" w:hAnsi="Times New Roman" w:cs="Times New Roman"/>
              </w:rPr>
              <w:t>.</w:t>
            </w:r>
          </w:p>
          <w:p w14:paraId="6EE1D1C6" w14:textId="77777777" w:rsidR="00D72458" w:rsidRPr="00875C3C" w:rsidRDefault="00D72458" w:rsidP="00D72458">
            <w:pPr>
              <w:widowControl w:val="0"/>
              <w:numPr>
                <w:ilvl w:val="0"/>
                <w:numId w:val="8"/>
              </w:numPr>
              <w:tabs>
                <w:tab w:val="left" w:pos="480"/>
              </w:tabs>
              <w:autoSpaceDE w:val="0"/>
              <w:autoSpaceDN w:val="0"/>
              <w:adjustRightInd w:val="0"/>
              <w:spacing w:after="0" w:line="240" w:lineRule="auto"/>
              <w:ind w:left="480"/>
              <w:rPr>
                <w:rFonts w:ascii="Times New Roman" w:hAnsi="Times New Roman" w:cs="Times New Roman"/>
              </w:rPr>
            </w:pPr>
            <w:r w:rsidRPr="00875C3C">
              <w:rPr>
                <w:rFonts w:ascii="Times New Roman" w:hAnsi="Times New Roman" w:cs="Times New Roman"/>
              </w:rPr>
              <w:t>The Non-Metro 70% LLSIL may be used for families residing in all other Minnesota counties (</w:t>
            </w:r>
            <w:r w:rsidRPr="00875C3C">
              <w:rPr>
                <w:rFonts w:ascii="Times New Roman" w:hAnsi="Times New Roman" w:cs="Times New Roman"/>
                <w:b/>
              </w:rPr>
              <w:t>unless Poverty Level is used)</w:t>
            </w:r>
            <w:r w:rsidRPr="00875C3C">
              <w:rPr>
                <w:rFonts w:ascii="Times New Roman" w:hAnsi="Times New Roman" w:cs="Times New Roman"/>
              </w:rPr>
              <w:t>.</w:t>
            </w:r>
          </w:p>
          <w:p w14:paraId="68397F0E" w14:textId="77777777" w:rsidR="00D72458" w:rsidRPr="0055652E" w:rsidRDefault="00D72458" w:rsidP="00D72458">
            <w:pPr>
              <w:widowControl w:val="0"/>
              <w:tabs>
                <w:tab w:val="left" w:pos="2880"/>
              </w:tabs>
              <w:autoSpaceDE w:val="0"/>
              <w:autoSpaceDN w:val="0"/>
              <w:adjustRightInd w:val="0"/>
              <w:rPr>
                <w:rFonts w:ascii="Times New Roman" w:hAnsi="Times New Roman" w:cs="Times New Roman"/>
              </w:rPr>
            </w:pPr>
          </w:p>
        </w:tc>
      </w:tr>
    </w:tbl>
    <w:p w14:paraId="33C4D07D" w14:textId="2E0AD71B" w:rsidR="008E70E2" w:rsidRPr="00CA70CC" w:rsidRDefault="00E00039" w:rsidP="00CA70CC">
      <w:pPr>
        <w:spacing w:before="100" w:beforeAutospacing="1" w:after="100" w:afterAutospacing="1"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Related Links </w:t>
      </w:r>
      <w:r w:rsidRPr="00E00039">
        <w:rPr>
          <w:rFonts w:ascii="Times New Roman" w:eastAsia="Times New Roman" w:hAnsi="Times New Roman" w:cs="Times New Roman"/>
          <w:sz w:val="24"/>
          <w:szCs w:val="24"/>
          <w:lang w:val="en"/>
        </w:rPr>
        <w:br/>
      </w:r>
      <w:hyperlink r:id="rId21" w:tgtFrame="_blank" w:tooltip="DEED Youth Website" w:history="1">
        <w:r w:rsidRPr="00E00039">
          <w:rPr>
            <w:rFonts w:ascii="Times New Roman" w:eastAsia="Times New Roman" w:hAnsi="Times New Roman" w:cs="Times New Roman"/>
            <w:color w:val="0000FF"/>
            <w:sz w:val="24"/>
            <w:szCs w:val="24"/>
            <w:u w:val="single"/>
            <w:lang w:val="en"/>
          </w:rPr>
          <w:t>DEED Youth Website</w:t>
        </w:r>
      </w:hyperlink>
      <w:r w:rsidRPr="00E00039">
        <w:rPr>
          <w:rFonts w:ascii="Times New Roman" w:eastAsia="Times New Roman" w:hAnsi="Times New Roman" w:cs="Times New Roman"/>
          <w:sz w:val="24"/>
          <w:szCs w:val="24"/>
          <w:lang w:val="en"/>
        </w:rPr>
        <w:object w:dxaOrig="225" w:dyaOrig="225" w14:anchorId="207F2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22" o:title=""/>
          </v:shape>
          <w:control r:id="rId23" w:name="DefaultOcxName" w:shapeid="_x0000_i1032"/>
        </w:object>
      </w:r>
      <w:r w:rsidRPr="00E00039">
        <w:rPr>
          <w:rFonts w:ascii="Times New Roman" w:eastAsia="Times New Roman" w:hAnsi="Times New Roman" w:cs="Times New Roman"/>
          <w:sz w:val="24"/>
          <w:szCs w:val="24"/>
          <w:lang w:val="en"/>
        </w:rPr>
        <w:object w:dxaOrig="225" w:dyaOrig="225" w14:anchorId="49DE98C0">
          <v:shape id="_x0000_i1035" type="#_x0000_t75" style="width:1in;height:18pt" o:ole="">
            <v:imagedata r:id="rId24" o:title=""/>
          </v:shape>
          <w:control r:id="rId25" w:name="DefaultOcxName1" w:shapeid="_x0000_i1035"/>
        </w:object>
      </w:r>
      <w:r w:rsidRPr="00E00039">
        <w:rPr>
          <w:rFonts w:ascii="Times New Roman" w:eastAsia="Times New Roman" w:hAnsi="Times New Roman" w:cs="Times New Roman"/>
          <w:sz w:val="24"/>
          <w:szCs w:val="24"/>
          <w:lang w:val="en"/>
        </w:rPr>
        <w:object w:dxaOrig="225" w:dyaOrig="225" w14:anchorId="7B96D18E">
          <v:shape id="_x0000_i1038" type="#_x0000_t75" style="width:1in;height:18pt" o:ole="">
            <v:imagedata r:id="rId26" o:title=""/>
          </v:shape>
          <w:control r:id="rId27" w:name="DefaultOcxName2" w:shapeid="_x0000_i1038"/>
        </w:object>
      </w:r>
    </w:p>
    <w:sectPr w:rsidR="008E70E2" w:rsidRPr="00CA70CC" w:rsidSect="00EC7D9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7B04" w14:textId="77777777" w:rsidR="001B3A48" w:rsidRDefault="001B3A48" w:rsidP="00956933">
      <w:pPr>
        <w:spacing w:after="0" w:line="240" w:lineRule="auto"/>
      </w:pPr>
      <w:r>
        <w:separator/>
      </w:r>
    </w:p>
  </w:endnote>
  <w:endnote w:type="continuationSeparator" w:id="0">
    <w:p w14:paraId="66A05620" w14:textId="77777777" w:rsidR="001B3A48" w:rsidRDefault="001B3A48" w:rsidP="0095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712B" w14:textId="77777777" w:rsidR="001B3A48" w:rsidRDefault="001B3A48" w:rsidP="00956933">
      <w:pPr>
        <w:spacing w:after="0" w:line="240" w:lineRule="auto"/>
      </w:pPr>
      <w:r>
        <w:separator/>
      </w:r>
    </w:p>
  </w:footnote>
  <w:footnote w:type="continuationSeparator" w:id="0">
    <w:p w14:paraId="49AA80DF" w14:textId="77777777" w:rsidR="001B3A48" w:rsidRDefault="001B3A48" w:rsidP="0095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3"/>
    <w:multiLevelType w:val="hybridMultilevel"/>
    <w:tmpl w:val="F2C28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388E"/>
    <w:multiLevelType w:val="multilevel"/>
    <w:tmpl w:val="A9F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5069E"/>
    <w:multiLevelType w:val="multilevel"/>
    <w:tmpl w:val="FB9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C5AB8"/>
    <w:multiLevelType w:val="hybridMultilevel"/>
    <w:tmpl w:val="BFC6A616"/>
    <w:lvl w:ilvl="0" w:tplc="94006B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7329E6"/>
    <w:multiLevelType w:val="multilevel"/>
    <w:tmpl w:val="2A0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85CDB"/>
    <w:multiLevelType w:val="hybridMultilevel"/>
    <w:tmpl w:val="651A0D86"/>
    <w:lvl w:ilvl="0" w:tplc="F342D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53587"/>
    <w:multiLevelType w:val="multilevel"/>
    <w:tmpl w:val="81C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26BB5"/>
    <w:multiLevelType w:val="hybridMultilevel"/>
    <w:tmpl w:val="AB463F2E"/>
    <w:lvl w:ilvl="0" w:tplc="4EC08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5595112">
    <w:abstractNumId w:val="6"/>
  </w:num>
  <w:num w:numId="2" w16cid:durableId="922183664">
    <w:abstractNumId w:val="4"/>
  </w:num>
  <w:num w:numId="3" w16cid:durableId="1808886941">
    <w:abstractNumId w:val="1"/>
  </w:num>
  <w:num w:numId="4" w16cid:durableId="1003512671">
    <w:abstractNumId w:val="2"/>
  </w:num>
  <w:num w:numId="5" w16cid:durableId="1885943177">
    <w:abstractNumId w:val="5"/>
  </w:num>
  <w:num w:numId="6" w16cid:durableId="2130002795">
    <w:abstractNumId w:val="3"/>
  </w:num>
  <w:num w:numId="7" w16cid:durableId="1207913902">
    <w:abstractNumId w:val="7"/>
  </w:num>
  <w:num w:numId="8" w16cid:durableId="72051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9"/>
    <w:rsid w:val="00003E69"/>
    <w:rsid w:val="0001571E"/>
    <w:rsid w:val="00017EB5"/>
    <w:rsid w:val="00054904"/>
    <w:rsid w:val="00093E35"/>
    <w:rsid w:val="0012640A"/>
    <w:rsid w:val="001971A6"/>
    <w:rsid w:val="001B3A48"/>
    <w:rsid w:val="00222D99"/>
    <w:rsid w:val="002539E9"/>
    <w:rsid w:val="00270BC7"/>
    <w:rsid w:val="00284E9F"/>
    <w:rsid w:val="002C3353"/>
    <w:rsid w:val="002E4DFD"/>
    <w:rsid w:val="00330672"/>
    <w:rsid w:val="00341574"/>
    <w:rsid w:val="003424A4"/>
    <w:rsid w:val="003A4342"/>
    <w:rsid w:val="003D1CBF"/>
    <w:rsid w:val="003E090E"/>
    <w:rsid w:val="003E4229"/>
    <w:rsid w:val="004634A6"/>
    <w:rsid w:val="005508C7"/>
    <w:rsid w:val="0055652E"/>
    <w:rsid w:val="00566A6F"/>
    <w:rsid w:val="0059198D"/>
    <w:rsid w:val="005A1EF4"/>
    <w:rsid w:val="005A7A79"/>
    <w:rsid w:val="005C69B2"/>
    <w:rsid w:val="0063314B"/>
    <w:rsid w:val="00685B18"/>
    <w:rsid w:val="006926B7"/>
    <w:rsid w:val="006E7C21"/>
    <w:rsid w:val="007D4EDA"/>
    <w:rsid w:val="007E1D05"/>
    <w:rsid w:val="00842ADA"/>
    <w:rsid w:val="00875C3C"/>
    <w:rsid w:val="008E70E2"/>
    <w:rsid w:val="00956933"/>
    <w:rsid w:val="00960561"/>
    <w:rsid w:val="009933FF"/>
    <w:rsid w:val="009D37FF"/>
    <w:rsid w:val="00A16633"/>
    <w:rsid w:val="00A236F3"/>
    <w:rsid w:val="00A376AA"/>
    <w:rsid w:val="00A55B41"/>
    <w:rsid w:val="00A57090"/>
    <w:rsid w:val="00BA4CED"/>
    <w:rsid w:val="00BF45C9"/>
    <w:rsid w:val="00BF5F3B"/>
    <w:rsid w:val="00C0043E"/>
    <w:rsid w:val="00C049F1"/>
    <w:rsid w:val="00C14AC7"/>
    <w:rsid w:val="00C357CA"/>
    <w:rsid w:val="00C43CCD"/>
    <w:rsid w:val="00CA1EDC"/>
    <w:rsid w:val="00CA70CC"/>
    <w:rsid w:val="00CC4C4E"/>
    <w:rsid w:val="00CD68E2"/>
    <w:rsid w:val="00D173B4"/>
    <w:rsid w:val="00D24EE0"/>
    <w:rsid w:val="00D72458"/>
    <w:rsid w:val="00D734E3"/>
    <w:rsid w:val="00DC2286"/>
    <w:rsid w:val="00E00039"/>
    <w:rsid w:val="00E42304"/>
    <w:rsid w:val="00E6428B"/>
    <w:rsid w:val="00EB7675"/>
    <w:rsid w:val="00EC7D98"/>
    <w:rsid w:val="00ED1CAC"/>
    <w:rsid w:val="00EF66BC"/>
    <w:rsid w:val="00FB3D54"/>
    <w:rsid w:val="00FE1A8B"/>
    <w:rsid w:val="00FE5167"/>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8EC14A"/>
  <w15:docId w15:val="{4A83155A-17A3-4B6D-B0DD-3CC36F6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0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0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E00039"/>
  </w:style>
  <w:style w:type="character" w:styleId="Hyperlink">
    <w:name w:val="Hyperlink"/>
    <w:basedOn w:val="DefaultParagraphFont"/>
    <w:uiPriority w:val="99"/>
    <w:unhideWhenUsed/>
    <w:rsid w:val="00E00039"/>
    <w:rPr>
      <w:color w:val="0000FF"/>
      <w:u w:val="single"/>
    </w:rPr>
  </w:style>
  <w:style w:type="character" w:customStyle="1" w:styleId="label">
    <w:name w:val="label"/>
    <w:basedOn w:val="DefaultParagraphFont"/>
    <w:rsid w:val="00E00039"/>
  </w:style>
  <w:style w:type="paragraph" w:customStyle="1" w:styleId="Default">
    <w:name w:val="Default"/>
    <w:rsid w:val="007D4ED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D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AC"/>
  </w:style>
  <w:style w:type="paragraph" w:styleId="NoSpacing">
    <w:name w:val="No Spacing"/>
    <w:uiPriority w:val="1"/>
    <w:qFormat/>
    <w:rsid w:val="00ED1CAC"/>
    <w:pPr>
      <w:spacing w:after="0" w:line="240" w:lineRule="auto"/>
    </w:pPr>
  </w:style>
  <w:style w:type="paragraph" w:styleId="FootnoteText">
    <w:name w:val="footnote text"/>
    <w:basedOn w:val="Normal"/>
    <w:link w:val="FootnoteTextChar"/>
    <w:uiPriority w:val="99"/>
    <w:semiHidden/>
    <w:unhideWhenUsed/>
    <w:rsid w:val="0063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14B"/>
    <w:rPr>
      <w:sz w:val="20"/>
      <w:szCs w:val="20"/>
    </w:rPr>
  </w:style>
  <w:style w:type="character" w:styleId="FootnoteReference">
    <w:name w:val="footnote reference"/>
    <w:basedOn w:val="DefaultParagraphFont"/>
    <w:uiPriority w:val="99"/>
    <w:semiHidden/>
    <w:unhideWhenUsed/>
    <w:rsid w:val="0063314B"/>
    <w:rPr>
      <w:vertAlign w:val="superscript"/>
    </w:rPr>
  </w:style>
  <w:style w:type="paragraph" w:styleId="BalloonText">
    <w:name w:val="Balloon Text"/>
    <w:basedOn w:val="Normal"/>
    <w:link w:val="BalloonTextChar"/>
    <w:uiPriority w:val="99"/>
    <w:semiHidden/>
    <w:unhideWhenUsed/>
    <w:rsid w:val="003E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0E"/>
    <w:rPr>
      <w:rFonts w:ascii="Tahoma" w:hAnsi="Tahoma" w:cs="Tahoma"/>
      <w:sz w:val="16"/>
      <w:szCs w:val="16"/>
    </w:rPr>
  </w:style>
  <w:style w:type="character" w:styleId="FollowedHyperlink">
    <w:name w:val="FollowedHyperlink"/>
    <w:basedOn w:val="DefaultParagraphFont"/>
    <w:uiPriority w:val="99"/>
    <w:semiHidden/>
    <w:unhideWhenUsed/>
    <w:rsid w:val="005508C7"/>
    <w:rPr>
      <w:color w:val="800080" w:themeColor="followedHyperlink"/>
      <w:u w:val="single"/>
    </w:rPr>
  </w:style>
  <w:style w:type="paragraph" w:styleId="Header">
    <w:name w:val="header"/>
    <w:basedOn w:val="Normal"/>
    <w:link w:val="HeaderChar"/>
    <w:uiPriority w:val="99"/>
    <w:unhideWhenUsed/>
    <w:rsid w:val="0095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33"/>
  </w:style>
  <w:style w:type="paragraph" w:styleId="BodyText">
    <w:name w:val="Body Text"/>
    <w:basedOn w:val="Normal"/>
    <w:link w:val="BodyTextChar"/>
    <w:uiPriority w:val="1"/>
    <w:qFormat/>
    <w:rsid w:val="001B3A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3A4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B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4839">
      <w:bodyDiv w:val="1"/>
      <w:marLeft w:val="0"/>
      <w:marRight w:val="0"/>
      <w:marTop w:val="0"/>
      <w:marBottom w:val="0"/>
      <w:divBdr>
        <w:top w:val="none" w:sz="0" w:space="0" w:color="auto"/>
        <w:left w:val="none" w:sz="0" w:space="0" w:color="auto"/>
        <w:bottom w:val="none" w:sz="0" w:space="0" w:color="auto"/>
        <w:right w:val="none" w:sz="0" w:space="0" w:color="auto"/>
      </w:divBdr>
      <w:divsChild>
        <w:div w:id="374307093">
          <w:marLeft w:val="0"/>
          <w:marRight w:val="0"/>
          <w:marTop w:val="0"/>
          <w:marBottom w:val="0"/>
          <w:divBdr>
            <w:top w:val="none" w:sz="0" w:space="0" w:color="auto"/>
            <w:left w:val="none" w:sz="0" w:space="0" w:color="auto"/>
            <w:bottom w:val="none" w:sz="0" w:space="0" w:color="auto"/>
            <w:right w:val="none" w:sz="0" w:space="0" w:color="auto"/>
          </w:divBdr>
          <w:divsChild>
            <w:div w:id="20572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dr.doleta.gov/directives/corr_doc.cfm?DOCN=4244" TargetMode="External"/><Relationship Id="rId18" Type="http://schemas.openxmlformats.org/officeDocument/2006/relationships/hyperlink" Target="https://aspe.hhs.gov/topics/poverty-economic-mobility/poverty-guidelines"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mn.gov/deed/programs-services/office-youth-development/index.jsp" TargetMode="External"/><Relationship Id="rId7" Type="http://schemas.openxmlformats.org/officeDocument/2006/relationships/webSettings" Target="web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ww.dol.gov/agencies/eta/llsil" TargetMode="External"/><Relationship Id="rId25"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hyperlink" Target="https://wdr.doleta.gov/directives/corr_doc.cfm?DOCN=7159" TargetMode="External"/><Relationship Id="rId20" Type="http://schemas.openxmlformats.org/officeDocument/2006/relationships/hyperlink" Target="mailto:Kay.Tracy@state.mn.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FR-2016-08-19/pdf/2016-15975.pdf" TargetMode="External"/><Relationship Id="rId24"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dol.gov/agencies/eta/advisories/tegl-10-16-change-2" TargetMode="External"/><Relationship Id="rId23" Type="http://schemas.openxmlformats.org/officeDocument/2006/relationships/control" Target="activeX/activeX1.xml"/><Relationship Id="rId28" Type="http://schemas.openxmlformats.org/officeDocument/2006/relationships/fontTable" Target="fontTable.xml"/><Relationship Id="rId10" Type="http://schemas.openxmlformats.org/officeDocument/2006/relationships/hyperlink" Target="http://www.gpo.gov/fdsys/pkg/PLAW-113publ128/pdf/PLAW-113publ128.pdf" TargetMode="External"/><Relationship Id="rId19" Type="http://schemas.openxmlformats.org/officeDocument/2006/relationships/hyperlink" Target="https://www.dol.gov/agencies/eta/lls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dr.doleta.gov/directives/corr_doc.cfm?DOCN=6073" TargetMode="External"/><Relationship Id="rId22" Type="http://schemas.openxmlformats.org/officeDocument/2006/relationships/image" Target="media/image1.wmf"/><Relationship Id="rId27"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2" ma:contentTypeDescription="Create a new document." ma:contentTypeScope="" ma:versionID="f898ad89bf71ced6359d71250effdaca">
  <xsd:schema xmlns:xsd="http://www.w3.org/2001/XMLSchema" xmlns:xs="http://www.w3.org/2001/XMLSchema" xmlns:p="http://schemas.microsoft.com/office/2006/metadata/properties" xmlns:ns3="ec5ffc2c-0589-4753-b34a-4c035d4e7b7e" targetNamespace="http://schemas.microsoft.com/office/2006/metadata/properties" ma:root="true" ma:fieldsID="5bc6ae547dafb556761e6af153889da5" ns3:_="">
    <xsd:import namespace="ec5ffc2c-0589-4753-b34a-4c035d4e7b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6EA45-279F-4269-939E-B0E5D4C6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2C70F-A65A-433F-A281-B8B4541AD40C}">
  <ds:schemaRefs>
    <ds:schemaRef ds:uri="http://schemas.microsoft.com/sharepoint/v3/contenttype/forms"/>
  </ds:schemaRefs>
</ds:datastoreItem>
</file>

<file path=customXml/itemProps3.xml><?xml version="1.0" encoding="utf-8"?>
<ds:datastoreItem xmlns:ds="http://schemas.openxmlformats.org/officeDocument/2006/customXml" ds:itemID="{F2050150-202B-473C-95F0-8DAAEFEAA82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c5ffc2c-0589-4753-b34a-4c035d4e7b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Olson</dc:creator>
  <cp:lastModifiedBy>Douma, Lynn (DEED)</cp:lastModifiedBy>
  <cp:revision>4</cp:revision>
  <cp:lastPrinted>2015-04-22T15:14:00Z</cp:lastPrinted>
  <dcterms:created xsi:type="dcterms:W3CDTF">2024-02-06T17:48:00Z</dcterms:created>
  <dcterms:modified xsi:type="dcterms:W3CDTF">2024-02-06T17:55:00Z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