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580B" w:rsidRPr="0018580B" w:rsidRDefault="0018580B" w:rsidP="0018580B">
      <w:pPr>
        <w:jc w:val="center"/>
        <w:rPr>
          <w:b/>
          <w:bCs/>
        </w:rPr>
      </w:pPr>
      <w:r w:rsidRPr="0018580B">
        <w:rPr>
          <w:b/>
          <w:bCs/>
        </w:rPr>
        <w:t>Title III – Wagner-</w:t>
      </w:r>
      <w:proofErr w:type="spellStart"/>
      <w:r w:rsidRPr="0018580B">
        <w:rPr>
          <w:b/>
          <w:bCs/>
        </w:rPr>
        <w:t>Peyser</w:t>
      </w:r>
      <w:proofErr w:type="spellEnd"/>
    </w:p>
    <w:p w:rsidR="0018580B" w:rsidRDefault="0018580B" w:rsidP="0018580B"/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1619"/>
        <w:gridCol w:w="1800"/>
        <w:gridCol w:w="1710"/>
        <w:gridCol w:w="2070"/>
      </w:tblGrid>
      <w:tr w:rsidR="0018580B" w:rsidTr="0018580B">
        <w:trPr>
          <w:tblHeader/>
        </w:trPr>
        <w:tc>
          <w:tcPr>
            <w:tcW w:w="2251" w:type="dxa"/>
            <w:tcBorders>
              <w:top w:val="single" w:sz="8" w:space="0" w:color="1B1B1B"/>
              <w:left w:val="single" w:sz="8" w:space="0" w:color="1B1B1B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jc w:val="center"/>
              <w:rPr>
                <w:rFonts w:ascii="Helvetica" w:hAnsi="Helvetica" w:cs="Helvetica"/>
                <w:b/>
                <w:bCs/>
                <w:color w:val="1B1B1B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1B1B1B"/>
                <w:sz w:val="27"/>
                <w:szCs w:val="27"/>
              </w:rPr>
              <w:t>Performance Indicators</w:t>
            </w:r>
          </w:p>
        </w:tc>
        <w:tc>
          <w:tcPr>
            <w:tcW w:w="1619" w:type="dxa"/>
            <w:tcBorders>
              <w:top w:val="single" w:sz="8" w:space="0" w:color="1B1B1B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jc w:val="center"/>
              <w:rPr>
                <w:rFonts w:ascii="Helvetica" w:hAnsi="Helvetica" w:cs="Helvetica"/>
                <w:b/>
                <w:bCs/>
                <w:color w:val="1B1B1B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1B1B1B"/>
                <w:sz w:val="27"/>
                <w:szCs w:val="27"/>
              </w:rPr>
              <w:t>PY 2024 Expected Level</w:t>
            </w:r>
          </w:p>
        </w:tc>
        <w:tc>
          <w:tcPr>
            <w:tcW w:w="1800" w:type="dxa"/>
            <w:tcBorders>
              <w:top w:val="single" w:sz="8" w:space="0" w:color="1B1B1B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jc w:val="center"/>
              <w:rPr>
                <w:rFonts w:ascii="Helvetica" w:hAnsi="Helvetica" w:cs="Helvetica"/>
                <w:b/>
                <w:bCs/>
                <w:color w:val="1B1B1B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1B1B1B"/>
                <w:sz w:val="27"/>
                <w:szCs w:val="27"/>
              </w:rPr>
              <w:t>PY 2024 Negotiated Level</w:t>
            </w:r>
          </w:p>
        </w:tc>
        <w:tc>
          <w:tcPr>
            <w:tcW w:w="1710" w:type="dxa"/>
            <w:tcBorders>
              <w:top w:val="single" w:sz="8" w:space="0" w:color="1B1B1B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jc w:val="center"/>
              <w:rPr>
                <w:rFonts w:ascii="Helvetica" w:hAnsi="Helvetica" w:cs="Helvetica"/>
                <w:b/>
                <w:bCs/>
                <w:color w:val="1B1B1B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1B1B1B"/>
                <w:sz w:val="27"/>
                <w:szCs w:val="27"/>
              </w:rPr>
              <w:t>PY 2025 Expected Level</w:t>
            </w:r>
          </w:p>
        </w:tc>
        <w:tc>
          <w:tcPr>
            <w:tcW w:w="2070" w:type="dxa"/>
            <w:tcBorders>
              <w:top w:val="single" w:sz="8" w:space="0" w:color="1B1B1B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jc w:val="center"/>
              <w:rPr>
                <w:rFonts w:ascii="Helvetica" w:hAnsi="Helvetica" w:cs="Helvetica"/>
                <w:b/>
                <w:bCs/>
                <w:color w:val="1B1B1B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1B1B1B"/>
                <w:sz w:val="27"/>
                <w:szCs w:val="27"/>
              </w:rPr>
              <w:t>PY 2025 Negotiated Level</w:t>
            </w:r>
          </w:p>
        </w:tc>
      </w:tr>
      <w:tr w:rsidR="0018580B" w:rsidTr="0018580B">
        <w:tc>
          <w:tcPr>
            <w:tcW w:w="2251" w:type="dxa"/>
            <w:tcBorders>
              <w:top w:val="nil"/>
              <w:left w:val="single" w:sz="8" w:space="0" w:color="1B1B1B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Employment (Second Quarter After Exit)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60.0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61.0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NA</w:t>
            </w:r>
          </w:p>
        </w:tc>
      </w:tr>
      <w:tr w:rsidR="0018580B" w:rsidTr="0018580B">
        <w:tc>
          <w:tcPr>
            <w:tcW w:w="2251" w:type="dxa"/>
            <w:tcBorders>
              <w:top w:val="nil"/>
              <w:left w:val="single" w:sz="8" w:space="0" w:color="1B1B1B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Employment (Fourth Quarter After Exit)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65.0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66.0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NA</w:t>
            </w:r>
          </w:p>
        </w:tc>
      </w:tr>
      <w:tr w:rsidR="0018580B" w:rsidTr="0018580B">
        <w:tc>
          <w:tcPr>
            <w:tcW w:w="2251" w:type="dxa"/>
            <w:tcBorders>
              <w:top w:val="nil"/>
              <w:left w:val="single" w:sz="8" w:space="0" w:color="1B1B1B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Median Earnings (Second Quarter After Exit)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8,100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8,200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NA</w:t>
            </w:r>
          </w:p>
        </w:tc>
      </w:tr>
      <w:tr w:rsidR="0018580B" w:rsidTr="0018580B">
        <w:tc>
          <w:tcPr>
            <w:tcW w:w="2251" w:type="dxa"/>
            <w:tcBorders>
              <w:top w:val="nil"/>
              <w:left w:val="single" w:sz="8" w:space="0" w:color="1B1B1B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Credential Attainment Rate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Not Applicable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Not Applicable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Not Applicable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Not Applicable</w:t>
            </w:r>
          </w:p>
        </w:tc>
      </w:tr>
      <w:tr w:rsidR="0018580B" w:rsidTr="0018580B">
        <w:tc>
          <w:tcPr>
            <w:tcW w:w="2251" w:type="dxa"/>
            <w:tcBorders>
              <w:top w:val="nil"/>
              <w:left w:val="single" w:sz="8" w:space="0" w:color="1B1B1B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Measurable Skill Gains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Not Applicable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Not Applicable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Not Applicable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Not Applicable</w:t>
            </w:r>
          </w:p>
        </w:tc>
      </w:tr>
      <w:tr w:rsidR="0018580B" w:rsidTr="0018580B">
        <w:tc>
          <w:tcPr>
            <w:tcW w:w="2251" w:type="dxa"/>
            <w:tcBorders>
              <w:top w:val="nil"/>
              <w:left w:val="single" w:sz="8" w:space="0" w:color="1B1B1B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Effectiveness in Serving Employers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Not Applicable </w:t>
            </w:r>
            <w:hyperlink r:id="rId4" w:history="1">
              <w:r>
                <w:rPr>
                  <w:rStyle w:val="Hyperlink"/>
                  <w:rFonts w:ascii="Helvetica" w:hAnsi="Helvetica" w:cs="Helvetica"/>
                  <w:color w:val="005EA2"/>
                  <w:vertAlign w:val="superscript"/>
                </w:rPr>
                <w:t>1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Not Applicable </w:t>
            </w:r>
            <w:hyperlink r:id="rId5" w:history="1">
              <w:r>
                <w:rPr>
                  <w:rStyle w:val="Hyperlink"/>
                  <w:rFonts w:ascii="Helvetica" w:hAnsi="Helvetica" w:cs="Helvetica"/>
                  <w:color w:val="005EA2"/>
                  <w:vertAlign w:val="superscript"/>
                </w:rPr>
                <w:t>1</w:t>
              </w:r>
            </w:hyperlink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Not Applicable </w:t>
            </w:r>
            <w:hyperlink r:id="rId6" w:history="1">
              <w:r>
                <w:rPr>
                  <w:rStyle w:val="Hyperlink"/>
                  <w:rFonts w:ascii="Helvetica" w:hAnsi="Helvetica" w:cs="Helvetica"/>
                  <w:color w:val="005EA2"/>
                  <w:vertAlign w:val="superscript"/>
                </w:rPr>
                <w:t>1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80B" w:rsidRDefault="0018580B">
            <w:pPr>
              <w:shd w:val="clear" w:color="auto" w:fill="D0CECE"/>
              <w:rPr>
                <w:rFonts w:ascii="Helvetica" w:hAnsi="Helvetica" w:cs="Helvetica"/>
                <w:color w:val="1B1B1B"/>
              </w:rPr>
            </w:pPr>
            <w:r>
              <w:rPr>
                <w:rFonts w:ascii="Helvetica" w:hAnsi="Helvetica" w:cs="Helvetica"/>
                <w:color w:val="1B1B1B"/>
              </w:rPr>
              <w:t>Not Applicable </w:t>
            </w:r>
            <w:hyperlink r:id="rId7" w:history="1">
              <w:r>
                <w:rPr>
                  <w:rStyle w:val="Hyperlink"/>
                  <w:rFonts w:ascii="Helvetica" w:hAnsi="Helvetica" w:cs="Helvetica"/>
                  <w:color w:val="005EA2"/>
                  <w:vertAlign w:val="superscript"/>
                </w:rPr>
                <w:t>1</w:t>
              </w:r>
            </w:hyperlink>
          </w:p>
        </w:tc>
      </w:tr>
    </w:tbl>
    <w:p w:rsidR="0018580B" w:rsidRDefault="0018580B" w:rsidP="0018580B">
      <w:pPr>
        <w:shd w:val="clear" w:color="auto" w:fill="FFFFFF"/>
        <w:spacing w:before="100" w:beforeAutospacing="1" w:after="100" w:afterAutospacing="1"/>
        <w:ind w:left="360"/>
        <w:rPr>
          <w:rFonts w:ascii="Helvetica" w:eastAsia="Times New Roman" w:hAnsi="Helvetica" w:cs="Helvetica"/>
          <w:color w:val="1B1B1B"/>
          <w:sz w:val="27"/>
          <w:szCs w:val="27"/>
        </w:rPr>
      </w:pPr>
      <w:hyperlink r:id="rId8" w:history="1">
        <w:r>
          <w:rPr>
            <w:rStyle w:val="Hyperlink"/>
            <w:rFonts w:ascii="Helvetica" w:hAnsi="Helvetica" w:cs="Helvetica"/>
            <w:color w:val="005EA2"/>
            <w:vertAlign w:val="superscript"/>
          </w:rPr>
          <w:t>1</w:t>
        </w:r>
      </w:hyperlink>
      <w:r>
        <w:rPr>
          <w:rFonts w:eastAsia="Times New Roman"/>
          <w:color w:val="000000"/>
        </w:rPr>
        <w:t xml:space="preserve"> Departments have not issued the final rule defining Effectiveness in Serving Employers. As a result, states will not submit expected levels of performance for this indicator and the Departments will not establish negotiated levels of performance for PYs 2024 and 2025.</w:t>
      </w:r>
    </w:p>
    <w:p w:rsidR="006A5993" w:rsidRDefault="006A5993"/>
    <w:sectPr w:rsidR="006A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0B"/>
    <w:rsid w:val="0018580B"/>
    <w:rsid w:val="006A5993"/>
    <w:rsid w:val="00B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59BB"/>
  <w15:chartTrackingRefBased/>
  <w15:docId w15:val="{F45A3BA9-49F2-4173-BA4B-23E2A84D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80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8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ioaplans.ed.gov%2Fdashboard%2F368701%23footnote-1&amp;data=05%7C02%7CJeanna.Fortney%40state.mn.us%7C80029232ec0b4ff3571d08dc33cfd7b1%7Ceb14b04624c445198f26b89c2159828c%7C0%7C0%7C638442215489160719%7CUnknown%7CTWFpbGZsb3d8eyJWIjoiMC4wLjAwMDAiLCJQIjoiV2luMzIiLCJBTiI6Ik1haWwiLCJXVCI6Mn0%3D%7C0%7C%7C%7C&amp;sdata=YjMSebjZYpcqJ9kIOpOdAIAF5c11X9KgroaZnSjfOvQ%3D&amp;reserved=0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gcc02.safelinks.protection.outlook.com/?url=https%3A%2F%2Fwioaplans.ed.gov%2Fdashboard%2F368701%23footnote-1&amp;data=05%7C02%7CJeanna.Fortney%40state.mn.us%7C80029232ec0b4ff3571d08dc33cfd7b1%7Ceb14b04624c445198f26b89c2159828c%7C0%7C0%7C638442215489166426%7CUnknown%7CTWFpbGZsb3d8eyJWIjoiMC4wLjAwMDAiLCJQIjoiV2luMzIiLCJBTiI6Ik1haWwiLCJXVCI6Mn0%3D%7C0%7C%7C%7C&amp;sdata=Fht0%2BQ2mTCGH3XL7vSOkulS2%2FD43PJC%2BmMVGhJl60%2FQ%3D&amp;reserved=0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wioaplans.ed.gov%2Fdashboard%2F368701%23footnote-1&amp;data=05%7C02%7CJeanna.Fortney%40state.mn.us%7C80029232ec0b4ff3571d08dc33cfd7b1%7Ceb14b04624c445198f26b89c2159828c%7C0%7C0%7C638442215489160719%7CUnknown%7CTWFpbGZsb3d8eyJWIjoiMC4wLjAwMDAiLCJQIjoiV2luMzIiLCJBTiI6Ik1haWwiLCJXVCI6Mn0%3D%7C0%7C%7C%7C&amp;sdata=YjMSebjZYpcqJ9kIOpOdAIAF5c11X9KgroaZnSjfOvQ%3D&amp;reserved=0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gcc02.safelinks.protection.outlook.com/?url=https%3A%2F%2Fwioaplans.ed.gov%2Fdashboard%2F368701%23footnote-1&amp;data=05%7C02%7CJeanna.Fortney%40state.mn.us%7C80029232ec0b4ff3571d08dc33cfd7b1%7Ceb14b04624c445198f26b89c2159828c%7C0%7C0%7C638442215489153736%7CUnknown%7CTWFpbGZsb3d8eyJWIjoiMC4wLjAwMDAiLCJQIjoiV2luMzIiLCJBTiI6Ik1haWwiLCJXVCI6Mn0%3D%7C0%7C%7C%7C&amp;sdata=ULXzsvznBhb754nIQGDl0pSdP67z3Tp%2FkNf0271D5g4%3D&amp;reserved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cc02.safelinks.protection.outlook.com/?url=https%3A%2F%2Fwioaplans.ed.gov%2Fdashboard%2F368701%23footnote-1&amp;data=05%7C02%7CJeanna.Fortney%40state.mn.us%7C80029232ec0b4ff3571d08dc33cfd7b1%7Ceb14b04624c445198f26b89c2159828c%7C0%7C0%7C638442215489144002%7CUnknown%7CTWFpbGZsb3d8eyJWIjoiMC4wLjAwMDAiLCJQIjoiV2luMzIiLCJBTiI6Ik1haWwiLCJXVCI6Mn0%3D%7C0%7C%7C%7C&amp;sdata=shMSQdoHRAAkhlbxsRSHhhMe7P8r1x%2FWR37wlEFmiiI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30E21-1A2C-48E2-9DE4-A20F544897D0}"/>
</file>

<file path=customXml/itemProps2.xml><?xml version="1.0" encoding="utf-8"?>
<ds:datastoreItem xmlns:ds="http://schemas.openxmlformats.org/officeDocument/2006/customXml" ds:itemID="{CD22D3F4-2FB3-43FE-89FF-F9D1571EF40A}"/>
</file>

<file path=customXml/itemProps3.xml><?xml version="1.0" encoding="utf-8"?>
<ds:datastoreItem xmlns:ds="http://schemas.openxmlformats.org/officeDocument/2006/customXml" ds:itemID="{FE5B5776-D47E-493F-9AF6-E4E186EA5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2635</Characters>
  <Application>Microsoft Office Word</Application>
  <DocSecurity>0</DocSecurity>
  <Lines>21</Lines>
  <Paragraphs>6</Paragraphs>
  <ScaleCrop>false</ScaleCrop>
  <Company>State of MN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Kammen, Kay (DEED)</dc:creator>
  <cp:keywords/>
  <dc:description/>
  <cp:lastModifiedBy>Kammen, Kay (DEED)</cp:lastModifiedBy>
  <cp:revision>1</cp:revision>
  <dcterms:created xsi:type="dcterms:W3CDTF">2024-02-23T18:33:00Z</dcterms:created>
  <dcterms:modified xsi:type="dcterms:W3CDTF">2024-02-23T18:43:00Z</dcterms:modified>
</cp:coreProperties>
</file>